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FE68B">
      <w:pPr>
        <w:keepNext/>
        <w:keepLines/>
        <w:spacing w:before="260" w:after="260" w:line="416" w:lineRule="atLeast"/>
        <w:jc w:val="center"/>
        <w:outlineLvl w:val="1"/>
        <w:rPr>
          <w:rFonts w:hint="eastAsia" w:ascii="Times New Roman" w:hAnsi="Times New Roman" w:eastAsia="宋体"/>
          <w:b/>
          <w:bCs/>
          <w:sz w:val="28"/>
          <w:szCs w:val="28"/>
          <w:lang w:eastAsia="zh-CN"/>
        </w:rPr>
      </w:pPr>
    </w:p>
    <w:p w14:paraId="1752A185">
      <w:pPr>
        <w:keepNext/>
        <w:keepLines/>
        <w:spacing w:before="260" w:after="260" w:line="416" w:lineRule="atLeast"/>
        <w:jc w:val="center"/>
        <w:outlineLvl w:val="1"/>
        <w:rPr>
          <w:rFonts w:hint="eastAsia" w:ascii="Times New Roman" w:hAnsi="Times New Roman"/>
          <w:b/>
          <w:bCs/>
          <w:sz w:val="28"/>
          <w:szCs w:val="28"/>
        </w:rPr>
      </w:pPr>
    </w:p>
    <w:p w14:paraId="2C192A5C">
      <w:pPr>
        <w:pStyle w:val="2"/>
        <w:bidi w:val="0"/>
        <w:jc w:val="center"/>
        <w:rPr>
          <w:rFonts w:hint="eastAsia" w:ascii="Times New Roman" w:hAnsi="Times New Roman"/>
          <w:b/>
          <w:bCs/>
          <w:sz w:val="28"/>
          <w:szCs w:val="28"/>
        </w:rPr>
      </w:pPr>
      <w:r>
        <w:rPr>
          <w:rFonts w:hint="eastAsia" w:ascii="微软简老宋" w:hAnsi="微软简老宋" w:eastAsia="微软简老宋" w:cs="微软简老宋"/>
          <w:color w:val="FFFFFF" w:themeColor="background1"/>
          <w:sz w:val="84"/>
          <w:szCs w:val="84"/>
          <w14:textFill>
            <w14:solidFill>
              <w14:schemeClr w14:val="bg1"/>
            </w14:solidFill>
          </w14:textFill>
        </w:rPr>
        <w:t>《</w:t>
      </w:r>
      <w:r>
        <w:rPr>
          <w:rFonts w:hint="eastAsia" w:ascii="微软简老宋" w:hAnsi="微软简老宋" w:eastAsia="微软简老宋" w:cs="微软简老宋"/>
          <w:color w:val="FFFFFF" w:themeColor="background1"/>
          <w:sz w:val="84"/>
          <w:szCs w:val="84"/>
          <w:lang w:val="en-US" w:eastAsia="zh-CN"/>
          <w14:textFill>
            <w14:solidFill>
              <w14:schemeClr w14:val="bg1"/>
            </w14:solidFill>
          </w14:textFill>
        </w:rPr>
        <w:t>临床医学概论</w:t>
      </w:r>
      <w:r>
        <w:rPr>
          <w:rFonts w:hint="eastAsia" w:ascii="微软简老宋" w:hAnsi="微软简老宋" w:eastAsia="微软简老宋" w:cs="微软简老宋"/>
          <w:color w:val="FFFFFF" w:themeColor="background1"/>
          <w:sz w:val="84"/>
          <w:szCs w:val="84"/>
          <w14:textFill>
            <w14:solidFill>
              <w14:schemeClr w14:val="bg1"/>
            </w14:solidFill>
          </w14:textFill>
        </w:rPr>
        <w:t>》</w:t>
      </w:r>
    </w:p>
    <w:p w14:paraId="2BCF7129">
      <w:pPr>
        <w:keepNext/>
        <w:keepLines/>
        <w:spacing w:before="260" w:after="260" w:line="416" w:lineRule="atLeast"/>
        <w:jc w:val="center"/>
        <w:outlineLvl w:val="1"/>
        <w:rPr>
          <w:rFonts w:hint="eastAsia" w:ascii="Times New Roman" w:hAnsi="Times New Roman"/>
          <w:b/>
          <w:bCs/>
          <w:sz w:val="52"/>
          <w:szCs w:val="52"/>
        </w:rPr>
      </w:pPr>
      <w:r>
        <w:rPr>
          <w:rFonts w:hint="eastAsia" w:ascii="Times New Roman" w:hAnsi="Times New Roman"/>
          <w:b/>
          <w:bCs/>
          <w:sz w:val="52"/>
          <w:szCs w:val="52"/>
        </w:rPr>
        <w:t>（第二版）</w:t>
      </w:r>
    </w:p>
    <w:p w14:paraId="23AD385F">
      <w:pPr>
        <w:keepNext/>
        <w:keepLines/>
        <w:spacing w:before="260" w:after="260" w:line="240" w:lineRule="auto"/>
        <w:jc w:val="center"/>
        <w:outlineLvl w:val="1"/>
        <w:rPr>
          <w:rFonts w:hint="eastAsia" w:ascii="Times New Roman" w:hAnsi="Times New Roman"/>
          <w:b/>
          <w:bCs/>
          <w:sz w:val="52"/>
          <w:szCs w:val="52"/>
        </w:rPr>
      </w:pPr>
    </w:p>
    <w:p w14:paraId="4C1314DC">
      <w:pPr>
        <w:keepNext/>
        <w:keepLines/>
        <w:spacing w:before="260" w:after="260" w:line="240" w:lineRule="auto"/>
        <w:jc w:val="center"/>
        <w:outlineLvl w:val="1"/>
        <w:rPr>
          <w:rFonts w:hint="eastAsia" w:ascii="Times New Roman" w:hAnsi="Times New Roman"/>
          <w:b/>
          <w:bCs/>
          <w:sz w:val="52"/>
          <w:szCs w:val="52"/>
        </w:rPr>
      </w:pPr>
    </w:p>
    <w:p w14:paraId="21545871">
      <w:pPr>
        <w:keepNext/>
        <w:keepLines/>
        <w:spacing w:before="260" w:after="260" w:line="240" w:lineRule="auto"/>
        <w:jc w:val="center"/>
        <w:outlineLvl w:val="1"/>
        <w:rPr>
          <w:rFonts w:hint="eastAsia" w:ascii="Times New Roman" w:hAnsi="Times New Roman"/>
          <w:b/>
          <w:bCs/>
          <w:sz w:val="30"/>
          <w:szCs w:val="30"/>
          <w:lang w:val="en-US" w:eastAsia="zh-CN"/>
        </w:rPr>
      </w:pPr>
    </w:p>
    <w:p w14:paraId="72DD4894">
      <w:pPr>
        <w:keepNext/>
        <w:keepLines/>
        <w:spacing w:before="260" w:after="260" w:line="240" w:lineRule="auto"/>
        <w:jc w:val="center"/>
        <w:outlineLvl w:val="1"/>
        <w:rPr>
          <w:rFonts w:hint="default" w:ascii="Times New Roman" w:hAnsi="Times New Roman" w:eastAsia="宋体"/>
          <w:b/>
          <w:bCs/>
          <w:sz w:val="52"/>
          <w:szCs w:val="52"/>
          <w:lang w:val="en-US" w:eastAsia="zh-CN"/>
        </w:rPr>
      </w:pPr>
      <w:r>
        <w:rPr>
          <w:rFonts w:hint="eastAsia" w:ascii="Times New Roman" w:hAnsi="Times New Roman"/>
          <w:b/>
          <w:bCs/>
          <w:sz w:val="30"/>
          <w:szCs w:val="30"/>
          <w:lang w:val="en-US" w:eastAsia="zh-CN"/>
        </w:rPr>
        <w:t>中南大学出版社</w:t>
      </w:r>
    </w:p>
    <w:p w14:paraId="5E81C5F3">
      <w:pPr>
        <w:keepNext/>
        <w:keepLines/>
        <w:spacing w:before="260" w:after="260" w:line="240" w:lineRule="auto"/>
        <w:jc w:val="center"/>
        <w:outlineLvl w:val="1"/>
        <w:rPr>
          <w:rFonts w:hint="eastAsia" w:ascii="Times New Roman" w:hAnsi="Times New Roman"/>
          <w:b/>
          <w:bCs/>
          <w:sz w:val="52"/>
          <w:szCs w:val="52"/>
        </w:rPr>
      </w:pPr>
    </w:p>
    <w:p w14:paraId="412EDB9B">
      <w:pPr>
        <w:keepNext/>
        <w:keepLines/>
        <w:spacing w:before="260" w:after="260" w:line="240" w:lineRule="auto"/>
        <w:jc w:val="center"/>
        <w:outlineLvl w:val="1"/>
        <w:rPr>
          <w:rFonts w:hint="eastAsia" w:ascii="Times New Roman" w:hAnsi="Times New Roman"/>
          <w:b/>
          <w:bCs/>
          <w:sz w:val="52"/>
          <w:szCs w:val="52"/>
        </w:rPr>
      </w:pPr>
    </w:p>
    <w:p w14:paraId="1DE0F138">
      <w:pPr>
        <w:keepNext/>
        <w:keepLines/>
        <w:spacing w:before="260" w:after="260" w:line="240" w:lineRule="auto"/>
        <w:jc w:val="center"/>
        <w:outlineLvl w:val="1"/>
        <w:rPr>
          <w:rFonts w:hint="eastAsia" w:ascii="Times New Roman" w:hAnsi="Times New Roman"/>
          <w:b/>
          <w:bCs/>
          <w:sz w:val="52"/>
          <w:szCs w:val="52"/>
        </w:rPr>
      </w:pPr>
    </w:p>
    <w:p w14:paraId="7F875E9A">
      <w:pPr>
        <w:keepNext/>
        <w:keepLines/>
        <w:spacing w:before="260" w:after="260" w:line="240" w:lineRule="auto"/>
        <w:jc w:val="center"/>
        <w:outlineLvl w:val="1"/>
        <w:rPr>
          <w:rFonts w:hint="eastAsia" w:ascii="Times New Roman" w:hAnsi="Times New Roman"/>
          <w:b/>
          <w:bCs/>
          <w:sz w:val="28"/>
          <w:szCs w:val="28"/>
        </w:rPr>
      </w:pPr>
    </w:p>
    <w:p w14:paraId="25768923">
      <w:pPr>
        <w:keepNext/>
        <w:keepLines/>
        <w:spacing w:before="260" w:after="260" w:line="240" w:lineRule="auto"/>
        <w:jc w:val="center"/>
        <w:outlineLvl w:val="1"/>
        <w:rPr>
          <w:rFonts w:hint="eastAsia" w:ascii="Times New Roman" w:hAnsi="Times New Roman"/>
          <w:b/>
          <w:bCs/>
          <w:sz w:val="28"/>
          <w:szCs w:val="28"/>
        </w:rPr>
      </w:pPr>
    </w:p>
    <w:p w14:paraId="7B0338A8">
      <w:pPr>
        <w:keepNext/>
        <w:keepLines/>
        <w:spacing w:before="260" w:after="260" w:line="240" w:lineRule="auto"/>
        <w:jc w:val="center"/>
        <w:outlineLvl w:val="1"/>
        <w:rPr>
          <w:rFonts w:hint="eastAsia" w:ascii="Times New Roman" w:hAnsi="Times New Roman"/>
          <w:b/>
          <w:bCs/>
          <w:sz w:val="28"/>
          <w:szCs w:val="28"/>
        </w:rPr>
      </w:pPr>
    </w:p>
    <w:p w14:paraId="00F1166D">
      <w:pPr>
        <w:keepNext/>
        <w:keepLines/>
        <w:spacing w:before="260" w:after="260" w:line="240" w:lineRule="auto"/>
        <w:jc w:val="center"/>
        <w:outlineLvl w:val="1"/>
        <w:rPr>
          <w:rFonts w:hint="eastAsia" w:ascii="Times New Roman" w:hAnsi="Times New Roman"/>
          <w:b/>
          <w:bCs/>
          <w:sz w:val="28"/>
          <w:szCs w:val="28"/>
        </w:rPr>
      </w:pPr>
    </w:p>
    <w:p w14:paraId="23BA17FF">
      <w:pPr>
        <w:keepNext/>
        <w:keepLines/>
        <w:spacing w:before="260" w:after="260" w:line="240" w:lineRule="auto"/>
        <w:jc w:val="center"/>
        <w:outlineLvl w:val="1"/>
        <w:rPr>
          <w:rFonts w:hint="eastAsia" w:ascii="Times New Roman" w:hAnsi="Times New Roman"/>
          <w:b/>
          <w:bCs/>
          <w:sz w:val="28"/>
          <w:szCs w:val="28"/>
        </w:rPr>
      </w:pPr>
    </w:p>
    <w:p w14:paraId="4CE1FFFF">
      <w:pPr>
        <w:keepNext/>
        <w:keepLines/>
        <w:spacing w:before="260" w:after="260" w:line="240" w:lineRule="auto"/>
        <w:jc w:val="both"/>
        <w:outlineLvl w:val="1"/>
        <w:rPr>
          <w:rFonts w:hint="eastAsia" w:ascii="Times New Roman" w:hAnsi="Times New Roman"/>
          <w:b/>
          <w:bCs/>
          <w:sz w:val="28"/>
          <w:szCs w:val="28"/>
        </w:rPr>
        <w:sectPr>
          <w:headerReference r:id="rId4" w:type="first"/>
          <w:headerReference r:id="rId3" w:type="default"/>
          <w:pgSz w:w="11906" w:h="16838"/>
          <w:pgMar w:top="0" w:right="170" w:bottom="0" w:left="170" w:header="567" w:footer="850" w:gutter="0"/>
          <w:pgBorders>
            <w:top w:val="none" w:sz="0" w:space="0"/>
            <w:left w:val="none" w:sz="0" w:space="0"/>
            <w:bottom w:val="none" w:sz="0" w:space="0"/>
            <w:right w:val="none" w:sz="0" w:space="0"/>
          </w:pgBorders>
          <w:cols w:space="425" w:num="1"/>
          <w:titlePg/>
          <w:docGrid w:type="lines" w:linePitch="312" w:charSpace="0"/>
        </w:sectPr>
      </w:pPr>
    </w:p>
    <w:p w14:paraId="29D5CC5B">
      <w:pPr>
        <w:keepNext/>
        <w:keepLines/>
        <w:spacing w:before="260" w:after="260" w:line="416" w:lineRule="atLeast"/>
        <w:jc w:val="center"/>
        <w:outlineLvl w:val="1"/>
        <w:rPr>
          <w:rFonts w:hint="default" w:ascii="Times New Roman" w:hAnsi="Times New Roman" w:eastAsia="宋体"/>
          <w:b/>
          <w:bCs/>
          <w:color w:val="00B0F0"/>
          <w:sz w:val="28"/>
          <w:szCs w:val="28"/>
          <w:lang w:val="en-US" w:eastAsia="zh-CN"/>
        </w:rPr>
      </w:pPr>
      <w:r>
        <w:rPr>
          <w:rFonts w:hint="eastAsia" w:ascii="微软简老宋" w:hAnsi="微软简老宋" w:eastAsia="微软简老宋" w:cs="微软简老宋"/>
          <w:b w:val="0"/>
          <w:bCs w:val="0"/>
          <w:color w:val="00B0F0"/>
          <w:sz w:val="32"/>
          <w:szCs w:val="32"/>
          <w:lang w:val="en-US" w:eastAsia="zh-CN"/>
        </w:rPr>
        <w:t>项目十一  血液系统疾病</w:t>
      </w:r>
    </w:p>
    <w:tbl>
      <w:tblPr>
        <w:tblStyle w:val="11"/>
        <w:tblW w:w="10488" w:type="dxa"/>
        <w:jc w:val="center"/>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Layout w:type="fixed"/>
        <w:tblCellMar>
          <w:top w:w="0" w:type="dxa"/>
          <w:left w:w="108" w:type="dxa"/>
          <w:bottom w:w="0" w:type="dxa"/>
          <w:right w:w="108" w:type="dxa"/>
        </w:tblCellMar>
      </w:tblPr>
      <w:tblGrid>
        <w:gridCol w:w="1584"/>
        <w:gridCol w:w="7208"/>
        <w:gridCol w:w="1696"/>
      </w:tblGrid>
      <w:tr w14:paraId="3384969C">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2478157A">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Times New Roman"/>
                <w:b/>
                <w:sz w:val="24"/>
                <w:szCs w:val="24"/>
              </w:rPr>
              <w:t>题</w:t>
            </w:r>
          </w:p>
        </w:tc>
        <w:tc>
          <w:tcPr>
            <w:tcW w:w="8904" w:type="dxa"/>
            <w:gridSpan w:val="2"/>
            <w:tcBorders>
              <w:tl2br w:val="nil"/>
              <w:tr2bl w:val="nil"/>
            </w:tcBorders>
            <w:vAlign w:val="center"/>
          </w:tcPr>
          <w:p w14:paraId="35FA90CE">
            <w:pPr>
              <w:keepNext w:val="0"/>
              <w:keepLines w:val="0"/>
              <w:suppressLineNumbers w:val="0"/>
              <w:spacing w:before="0" w:beforeAutospacing="0" w:after="0" w:afterAutospacing="0" w:line="360" w:lineRule="auto"/>
              <w:ind w:left="0" w:right="0" w:hanging="8"/>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血液系统疾病-任务二、过敏性紫癜</w:t>
            </w:r>
          </w:p>
        </w:tc>
      </w:tr>
      <w:tr w14:paraId="38763524">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54D3FE42">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课时</w:t>
            </w:r>
          </w:p>
        </w:tc>
        <w:tc>
          <w:tcPr>
            <w:tcW w:w="8904" w:type="dxa"/>
            <w:gridSpan w:val="2"/>
            <w:tcBorders>
              <w:tl2br w:val="nil"/>
              <w:tr2bl w:val="nil"/>
            </w:tcBorders>
            <w:vAlign w:val="center"/>
          </w:tcPr>
          <w:p w14:paraId="50F2858C">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lang w:val="en-US" w:eastAsia="zh-CN"/>
              </w:rPr>
              <w:t>2</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90</w:t>
            </w:r>
            <w:r>
              <w:rPr>
                <w:rFonts w:hint="eastAsia" w:ascii="Times New Roman" w:hAnsi="宋体"/>
                <w:sz w:val="24"/>
                <w:szCs w:val="24"/>
              </w:rPr>
              <w:t>min）</w:t>
            </w:r>
          </w:p>
        </w:tc>
      </w:tr>
      <w:tr w14:paraId="061FC37A">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2B3F2A47">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8904" w:type="dxa"/>
            <w:gridSpan w:val="2"/>
            <w:tcBorders>
              <w:tl2br w:val="nil"/>
              <w:tr2bl w:val="nil"/>
            </w:tcBorders>
            <w:vAlign w:val="center"/>
          </w:tcPr>
          <w:p w14:paraId="0784BC57">
            <w:pPr>
              <w:keepNext w:val="0"/>
              <w:keepLines w:val="0"/>
              <w:suppressLineNumbers w:val="0"/>
              <w:spacing w:before="0" w:beforeAutospacing="0" w:after="0" w:afterAutospacing="0" w:line="360" w:lineRule="auto"/>
              <w:ind w:left="0" w:right="0" w:hanging="8"/>
              <w:rPr>
                <w:rFonts w:hint="default"/>
                <w:b/>
                <w:color w:val="00B0F0"/>
                <w:sz w:val="24"/>
                <w:szCs w:val="24"/>
              </w:rPr>
            </w:pPr>
            <w:r>
              <w:rPr>
                <w:rFonts w:hint="default" w:hAnsi="宋体"/>
                <w:b/>
                <w:color w:val="00B0F0"/>
                <w:sz w:val="24"/>
                <w:szCs w:val="24"/>
              </w:rPr>
              <w:t>知识目标：</w:t>
            </w:r>
          </w:p>
          <w:p w14:paraId="7C876BE1">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239" w:leftChars="114" w:right="0" w:firstLine="230" w:firstLineChars="96"/>
              <w:textAlignment w:val="auto"/>
              <w:rPr>
                <w:rFonts w:hint="eastAsia" w:ascii="宋体" w:hAnsi="宋体" w:eastAsia="宋体" w:cs="宋体"/>
                <w:sz w:val="24"/>
                <w:szCs w:val="22"/>
              </w:rPr>
            </w:pPr>
            <w:r>
              <w:rPr>
                <w:rFonts w:hint="eastAsia" w:ascii="宋体" w:hAnsi="宋体" w:eastAsia="宋体" w:cs="宋体"/>
                <w:sz w:val="24"/>
                <w:szCs w:val="22"/>
                <w:lang w:val="en-US" w:eastAsia="zh-CN"/>
              </w:rPr>
              <w:t>1.掌握</w:t>
            </w:r>
            <w:r>
              <w:rPr>
                <w:rFonts w:hint="eastAsia" w:ascii="宋体" w:hAnsi="宋体" w:cs="宋体"/>
                <w:sz w:val="24"/>
                <w:szCs w:val="22"/>
                <w:lang w:val="en-US" w:eastAsia="zh-CN"/>
              </w:rPr>
              <w:t>常见血液系统疾病</w:t>
            </w:r>
            <w:r>
              <w:rPr>
                <w:rFonts w:hint="eastAsia" w:ascii="宋体" w:hAnsi="宋体" w:eastAsia="宋体" w:cs="宋体"/>
                <w:sz w:val="24"/>
                <w:szCs w:val="22"/>
                <w:lang w:val="en-US" w:eastAsia="zh-CN"/>
              </w:rPr>
              <w:t xml:space="preserve">的临床表现、诊断、治疗。 </w:t>
            </w:r>
          </w:p>
          <w:p w14:paraId="78140322">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239" w:leftChars="114" w:right="0" w:firstLine="230" w:firstLineChars="96"/>
              <w:textAlignment w:val="auto"/>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2.熟悉</w:t>
            </w:r>
            <w:r>
              <w:rPr>
                <w:rFonts w:hint="eastAsia" w:ascii="宋体" w:hAnsi="宋体" w:cs="宋体"/>
                <w:sz w:val="24"/>
                <w:szCs w:val="22"/>
                <w:lang w:val="en-US" w:eastAsia="zh-CN"/>
              </w:rPr>
              <w:t>常见血液系统疾病</w:t>
            </w:r>
            <w:r>
              <w:rPr>
                <w:rFonts w:hint="eastAsia" w:ascii="宋体" w:hAnsi="宋体" w:eastAsia="宋体" w:cs="宋体"/>
                <w:sz w:val="24"/>
                <w:szCs w:val="22"/>
                <w:lang w:val="en-US" w:eastAsia="zh-CN"/>
              </w:rPr>
              <w:t>的病因及发病机制。</w:t>
            </w:r>
          </w:p>
          <w:p w14:paraId="70A7D73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宋体" w:hAnsi="宋体" w:eastAsia="宋体" w:cs="宋体"/>
                <w:sz w:val="24"/>
                <w:szCs w:val="22"/>
                <w:lang w:val="en-US" w:eastAsia="zh-CN"/>
              </w:rPr>
            </w:pPr>
            <w:r>
              <w:rPr>
                <w:rFonts w:hint="eastAsia" w:hAnsi="宋体"/>
                <w:b/>
                <w:color w:val="00B0F0"/>
                <w:sz w:val="24"/>
                <w:szCs w:val="24"/>
                <w:lang w:val="en-US" w:eastAsia="zh-CN"/>
              </w:rPr>
              <w:t>能力</w:t>
            </w:r>
            <w:r>
              <w:rPr>
                <w:rFonts w:hint="default" w:hAnsi="宋体"/>
                <w:b/>
                <w:color w:val="00B0F0"/>
                <w:sz w:val="24"/>
                <w:szCs w:val="24"/>
              </w:rPr>
              <w:t>目标：</w:t>
            </w:r>
          </w:p>
          <w:p w14:paraId="22A5F73E">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firstLine="480" w:firstLineChars="200"/>
              <w:textAlignment w:val="auto"/>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学会缺铁性与再生障碍性贫血的鉴别诊断与过敏性紫癜的常规诊断技能。</w:t>
            </w:r>
          </w:p>
          <w:p w14:paraId="10E8E707">
            <w:pPr>
              <w:keepNext w:val="0"/>
              <w:keepLines w:val="0"/>
              <w:suppressLineNumbers w:val="0"/>
              <w:spacing w:before="0" w:beforeAutospacing="0" w:after="0" w:afterAutospacing="0" w:line="360" w:lineRule="auto"/>
              <w:ind w:left="0" w:right="0" w:hanging="8"/>
              <w:rPr>
                <w:rFonts w:hint="default" w:ascii="Times New Roman" w:hAnsi="Times New Roman"/>
                <w:b/>
                <w:color w:val="00B0F0"/>
                <w:sz w:val="24"/>
                <w:szCs w:val="24"/>
              </w:rPr>
            </w:pPr>
            <w:r>
              <w:rPr>
                <w:rFonts w:hint="eastAsia" w:ascii="Times New Roman" w:hAnsi="Times New Roman"/>
                <w:b/>
                <w:color w:val="00B0F0"/>
                <w:sz w:val="24"/>
                <w:szCs w:val="24"/>
                <w:lang w:val="en-US" w:eastAsia="zh-CN"/>
              </w:rPr>
              <w:t>素质</w:t>
            </w:r>
            <w:r>
              <w:rPr>
                <w:rFonts w:hint="default" w:ascii="Times New Roman" w:hAnsi="Times New Roman"/>
                <w:b/>
                <w:color w:val="00B0F0"/>
                <w:sz w:val="24"/>
                <w:szCs w:val="24"/>
              </w:rPr>
              <w:t>目标</w:t>
            </w:r>
            <w:r>
              <w:rPr>
                <w:rFonts w:hint="eastAsia" w:ascii="Times New Roman" w:hAnsi="Times New Roman"/>
                <w:b/>
                <w:color w:val="00B0F0"/>
                <w:sz w:val="24"/>
                <w:szCs w:val="24"/>
              </w:rPr>
              <w:t>：</w:t>
            </w:r>
          </w:p>
          <w:p w14:paraId="7A1EE3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Times New Roman" w:hAnsi="宋体" w:eastAsia="宋体"/>
                <w:bCs/>
                <w:sz w:val="24"/>
                <w:szCs w:val="24"/>
                <w:lang w:val="en-US" w:eastAsia="zh-CN"/>
              </w:rPr>
            </w:pPr>
            <w:bookmarkStart w:id="0" w:name="_GoBack"/>
            <w:bookmarkEnd w:id="0"/>
            <w:r>
              <w:rPr>
                <w:rFonts w:hint="eastAsia" w:ascii="Times New Roman" w:hAnsi="Times New Roman"/>
                <w:sz w:val="24"/>
                <w:szCs w:val="24"/>
                <w:lang w:val="en-US" w:eastAsia="zh-CN"/>
              </w:rPr>
              <w:t>培养应对复杂情景的心理韧性，形成具有认真负责、沉着冷静、人文关怀的职业素养。</w:t>
            </w:r>
          </w:p>
        </w:tc>
      </w:tr>
      <w:tr w14:paraId="32856297">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51A560BB">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8904" w:type="dxa"/>
            <w:gridSpan w:val="2"/>
            <w:tcBorders>
              <w:tl2br w:val="nil"/>
              <w:tr2bl w:val="nil"/>
            </w:tcBorders>
            <w:vAlign w:val="center"/>
          </w:tcPr>
          <w:p w14:paraId="7B3F4806">
            <w:pPr>
              <w:keepNext w:val="0"/>
              <w:keepLines w:val="0"/>
              <w:suppressLineNumbers w:val="0"/>
              <w:spacing w:before="0" w:beforeAutospacing="0" w:after="0" w:afterAutospacing="0" w:line="360" w:lineRule="auto"/>
              <w:ind w:left="0" w:right="0" w:hanging="8"/>
              <w:rPr>
                <w:rFonts w:hint="default" w:ascii="Times New Roman" w:hAnsi="Times New Roman" w:eastAsia="宋体"/>
                <w:sz w:val="24"/>
                <w:szCs w:val="24"/>
                <w:lang w:val="en-US" w:eastAsia="zh-CN"/>
              </w:rPr>
            </w:pPr>
            <w:r>
              <w:rPr>
                <w:rFonts w:hint="eastAsia" w:ascii="Times New Roman" w:hAnsi="Times New Roman"/>
                <w:b/>
                <w:color w:val="00B0F0"/>
                <w:sz w:val="24"/>
                <w:szCs w:val="24"/>
              </w:rPr>
              <w:t>教学重点：</w:t>
            </w:r>
            <w:r>
              <w:rPr>
                <w:rFonts w:hint="eastAsia" w:ascii="宋体" w:hAnsi="宋体" w:eastAsia="宋体" w:cs="宋体"/>
                <w:sz w:val="24"/>
                <w:szCs w:val="22"/>
                <w:lang w:val="en-US" w:eastAsia="zh-CN"/>
              </w:rPr>
              <w:t>贫血、过敏性紫癜的临床表现、诊断、治疗</w:t>
            </w:r>
          </w:p>
          <w:p w14:paraId="7876DB31">
            <w:pPr>
              <w:keepNext w:val="0"/>
              <w:keepLines w:val="0"/>
              <w:suppressLineNumbers w:val="0"/>
              <w:spacing w:before="0" w:beforeAutospacing="0" w:after="0" w:afterAutospacing="0" w:line="360" w:lineRule="auto"/>
              <w:ind w:left="0" w:right="0" w:hanging="8"/>
              <w:rPr>
                <w:rFonts w:hint="default" w:ascii="Times New Roman" w:hAnsi="Times New Roman"/>
                <w:sz w:val="24"/>
                <w:szCs w:val="24"/>
                <w:lang w:val="en-US"/>
              </w:rPr>
            </w:pPr>
            <w:r>
              <w:rPr>
                <w:rFonts w:hint="eastAsia" w:ascii="Times New Roman" w:hAnsi="Times New Roman"/>
                <w:b/>
                <w:color w:val="00B0F0"/>
                <w:sz w:val="24"/>
                <w:szCs w:val="24"/>
              </w:rPr>
              <w:t>教学难点：</w:t>
            </w:r>
            <w:r>
              <w:rPr>
                <w:rFonts w:hint="eastAsia" w:ascii="宋体" w:hAnsi="宋体" w:eastAsia="宋体" w:cs="宋体"/>
                <w:sz w:val="24"/>
                <w:szCs w:val="22"/>
                <w:lang w:val="en-US" w:eastAsia="zh-CN"/>
              </w:rPr>
              <w:t>贫血、过敏性紫癜的病因及发病机制</w:t>
            </w:r>
          </w:p>
        </w:tc>
      </w:tr>
      <w:tr w14:paraId="4FD69666">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4106A65A">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8904" w:type="dxa"/>
            <w:gridSpan w:val="2"/>
            <w:tcBorders>
              <w:tl2br w:val="nil"/>
              <w:tr2bl w:val="nil"/>
            </w:tcBorders>
            <w:vAlign w:val="center"/>
          </w:tcPr>
          <w:p w14:paraId="65CC6B2B">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6248C57F">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11A4FBAE">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8904" w:type="dxa"/>
            <w:gridSpan w:val="2"/>
            <w:tcBorders>
              <w:tl2br w:val="nil"/>
              <w:tr2bl w:val="nil"/>
            </w:tcBorders>
            <w:vAlign w:val="center"/>
          </w:tcPr>
          <w:p w14:paraId="573BEBB9">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w:t>
            </w:r>
            <w:r>
              <w:rPr>
                <w:rFonts w:hint="eastAsia" w:ascii="Times New Roman" w:hAnsi="宋体"/>
                <w:sz w:val="24"/>
                <w:szCs w:val="24"/>
                <w:lang w:val="en-US" w:eastAsia="zh-CN"/>
              </w:rPr>
              <w:t>智慧黑板</w:t>
            </w:r>
            <w:r>
              <w:rPr>
                <w:rFonts w:hint="eastAsia" w:ascii="Times New Roman" w:hAnsi="宋体"/>
                <w:sz w:val="24"/>
                <w:szCs w:val="24"/>
              </w:rPr>
              <w:t>、</w:t>
            </w:r>
            <w:r>
              <w:rPr>
                <w:rFonts w:hint="default" w:ascii="Times New Roman" w:hAnsi="宋体"/>
                <w:sz w:val="24"/>
                <w:szCs w:val="24"/>
              </w:rPr>
              <w:t>多媒体</w:t>
            </w:r>
            <w:r>
              <w:rPr>
                <w:rFonts w:hint="eastAsia" w:ascii="Times New Roman" w:hAnsi="宋体"/>
                <w:sz w:val="24"/>
                <w:szCs w:val="24"/>
              </w:rPr>
              <w:t>课件、教材</w:t>
            </w:r>
          </w:p>
        </w:tc>
      </w:tr>
      <w:tr w14:paraId="77732F88">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731" w:hRule="atLeast"/>
          <w:jc w:val="center"/>
        </w:trPr>
        <w:tc>
          <w:tcPr>
            <w:tcW w:w="1584" w:type="dxa"/>
            <w:tcBorders>
              <w:bottom w:val="double" w:color="4472C4" w:themeColor="accent5" w:sz="4" w:space="0"/>
              <w:tl2br w:val="nil"/>
              <w:tr2bl w:val="nil"/>
            </w:tcBorders>
            <w:shd w:val="clear" w:color="auto" w:fill="B7F1FF"/>
            <w:vAlign w:val="center"/>
          </w:tcPr>
          <w:p w14:paraId="6949DB5B">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8904" w:type="dxa"/>
            <w:gridSpan w:val="2"/>
            <w:tcBorders>
              <w:bottom w:val="double" w:color="4472C4" w:themeColor="accent5" w:sz="4" w:space="0"/>
              <w:tl2br w:val="nil"/>
              <w:tr2bl w:val="nil"/>
            </w:tcBorders>
            <w:vAlign w:val="center"/>
          </w:tcPr>
          <w:p w14:paraId="0BDB8369">
            <w:pPr>
              <w:keepNext w:val="0"/>
              <w:keepLines w:val="0"/>
              <w:widowControl w:val="0"/>
              <w:suppressLineNumbers w:val="0"/>
              <w:wordWrap w:val="0"/>
              <w:autoSpaceDE w:val="0"/>
              <w:autoSpaceDN w:val="0"/>
              <w:spacing w:before="0" w:beforeAutospacing="0" w:after="0" w:afterAutospacing="0" w:line="264" w:lineRule="auto"/>
              <w:ind w:left="0" w:right="0" w:hanging="8"/>
              <w:jc w:val="both"/>
              <w:rPr>
                <w:rFonts w:hint="default" w:ascii="Times New Roman" w:hAnsi="宋体" w:cs="Times New Roman"/>
                <w:sz w:val="24"/>
                <w:szCs w:val="24"/>
                <w:lang w:val="en-US"/>
              </w:rPr>
            </w:pPr>
            <w:r>
              <w:rPr>
                <w:rFonts w:hint="eastAsia" w:ascii="Times New Roman" w:hAnsi="宋体" w:eastAsia="宋体" w:cs="宋体"/>
                <w:kern w:val="0"/>
                <w:sz w:val="24"/>
                <w:szCs w:val="24"/>
                <w:lang w:val="en-US" w:eastAsia="zh-CN" w:bidi="ar"/>
              </w:rPr>
              <w:t>第</w:t>
            </w:r>
            <w:r>
              <w:rPr>
                <w:rFonts w:hint="default" w:ascii="Times New Roman" w:hAnsi="宋体" w:eastAsia="宋体" w:cs="Times New Roman"/>
                <w:kern w:val="0"/>
                <w:sz w:val="24"/>
                <w:szCs w:val="24"/>
                <w:lang w:val="en-US" w:eastAsia="zh-CN" w:bidi="ar"/>
              </w:rPr>
              <w:t>1</w:t>
            </w:r>
            <w:r>
              <w:rPr>
                <w:rFonts w:hint="eastAsia" w:ascii="Times New Roman" w:hAnsi="宋体" w:eastAsia="宋体" w:cs="宋体"/>
                <w:kern w:val="0"/>
                <w:sz w:val="24"/>
                <w:szCs w:val="24"/>
                <w:lang w:val="en-US" w:eastAsia="zh-CN" w:bidi="ar"/>
              </w:rPr>
              <w:t>节课：</w:t>
            </w:r>
            <w:r>
              <w:rPr>
                <w:rFonts w:hint="eastAsia" w:ascii="Times New Roman" w:hAnsi="宋体" w:eastAsia="宋体" w:cs="宋体"/>
                <w:kern w:val="2"/>
                <w:sz w:val="24"/>
                <w:szCs w:val="24"/>
                <w:lang w:val="en-US" w:eastAsia="zh-CN" w:bidi="ar"/>
              </w:rPr>
              <w:t>考勤（</w:t>
            </w:r>
            <w:r>
              <w:rPr>
                <w:rFonts w:hint="default" w:ascii="Times New Roman" w:hAnsi="宋体" w:eastAsia="宋体" w:cs="Times New Roman"/>
                <w:kern w:val="2"/>
                <w:sz w:val="24"/>
                <w:szCs w:val="24"/>
                <w:lang w:val="en-US" w:eastAsia="zh-CN" w:bidi="ar"/>
              </w:rPr>
              <w:t>2min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知识讲解（</w:t>
            </w:r>
            <w:r>
              <w:rPr>
                <w:rFonts w:hint="default" w:ascii="Times New Roman" w:hAnsi="宋体" w:eastAsia="宋体" w:cs="Times New Roman"/>
                <w:kern w:val="2"/>
                <w:sz w:val="24"/>
                <w:szCs w:val="24"/>
                <w:lang w:val="en-US" w:eastAsia="zh-CN" w:bidi="ar"/>
              </w:rPr>
              <w:t>40min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作业布置（</w:t>
            </w:r>
            <w:r>
              <w:rPr>
                <w:rFonts w:hint="default" w:ascii="Times New Roman" w:hAnsi="宋体" w:eastAsia="宋体" w:cs="Times New Roman"/>
                <w:kern w:val="2"/>
                <w:sz w:val="24"/>
                <w:szCs w:val="24"/>
                <w:lang w:val="en-US" w:eastAsia="zh-CN" w:bidi="ar"/>
              </w:rPr>
              <w:t>3min</w:t>
            </w:r>
            <w:r>
              <w:rPr>
                <w:rFonts w:hint="eastAsia" w:ascii="Times New Roman" w:hAnsi="宋体" w:eastAsia="宋体" w:cs="宋体"/>
                <w:kern w:val="2"/>
                <w:sz w:val="24"/>
                <w:szCs w:val="24"/>
                <w:lang w:val="en-US" w:eastAsia="zh-CN" w:bidi="ar"/>
              </w:rPr>
              <w:t>）</w:t>
            </w:r>
          </w:p>
          <w:p w14:paraId="4B041583">
            <w:pPr>
              <w:keepNext w:val="0"/>
              <w:keepLines w:val="0"/>
              <w:widowControl w:val="0"/>
              <w:suppressLineNumbers w:val="0"/>
              <w:wordWrap w:val="0"/>
              <w:autoSpaceDE w:val="0"/>
              <w:autoSpaceDN w:val="0"/>
              <w:spacing w:before="0" w:beforeAutospacing="0" w:after="0" w:afterAutospacing="0" w:line="264" w:lineRule="auto"/>
              <w:ind w:left="0" w:right="0" w:hanging="8"/>
              <w:jc w:val="both"/>
              <w:rPr>
                <w:rFonts w:hint="default" w:ascii="Times New Roman" w:hAnsi="宋体" w:cs="Times New Roman"/>
                <w:sz w:val="24"/>
                <w:szCs w:val="24"/>
                <w:lang w:val="en-US"/>
              </w:rPr>
            </w:pPr>
            <w:r>
              <w:rPr>
                <w:rFonts w:hint="eastAsia" w:ascii="Times New Roman" w:hAnsi="宋体" w:eastAsia="宋体" w:cs="宋体"/>
                <w:kern w:val="0"/>
                <w:sz w:val="24"/>
                <w:szCs w:val="24"/>
                <w:lang w:val="en-US" w:eastAsia="zh-CN" w:bidi="ar"/>
              </w:rPr>
              <w:t>第</w:t>
            </w:r>
            <w:r>
              <w:rPr>
                <w:rFonts w:hint="default" w:ascii="Times New Roman" w:hAnsi="宋体" w:eastAsia="宋体" w:cs="Times New Roman"/>
                <w:kern w:val="0"/>
                <w:sz w:val="24"/>
                <w:szCs w:val="24"/>
                <w:lang w:val="en-US" w:eastAsia="zh-CN" w:bidi="ar"/>
              </w:rPr>
              <w:t>2</w:t>
            </w:r>
            <w:r>
              <w:rPr>
                <w:rFonts w:hint="eastAsia" w:ascii="Times New Roman" w:hAnsi="宋体" w:eastAsia="宋体" w:cs="宋体"/>
                <w:kern w:val="0"/>
                <w:sz w:val="24"/>
                <w:szCs w:val="24"/>
                <w:lang w:val="en-US" w:eastAsia="zh-CN" w:bidi="ar"/>
              </w:rPr>
              <w:t>节课：</w:t>
            </w:r>
            <w:r>
              <w:rPr>
                <w:rFonts w:hint="eastAsia" w:ascii="Times New Roman" w:hAnsi="宋体" w:eastAsia="宋体" w:cs="宋体"/>
                <w:kern w:val="2"/>
                <w:sz w:val="24"/>
                <w:szCs w:val="24"/>
                <w:lang w:val="en-US" w:eastAsia="zh-CN" w:bidi="ar"/>
              </w:rPr>
              <w:t>知识讲解（</w:t>
            </w:r>
            <w:r>
              <w:rPr>
                <w:rFonts w:hint="default" w:ascii="Times New Roman" w:hAnsi="宋体" w:eastAsia="宋体" w:cs="Times New Roman"/>
                <w:kern w:val="2"/>
                <w:sz w:val="24"/>
                <w:szCs w:val="24"/>
                <w:lang w:val="en-US" w:eastAsia="zh-CN" w:bidi="ar"/>
              </w:rPr>
              <w:t>40min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课堂小结（</w:t>
            </w:r>
            <w:r>
              <w:rPr>
                <w:rFonts w:hint="default" w:ascii="Times New Roman" w:hAnsi="宋体" w:eastAsia="宋体" w:cs="Times New Roman"/>
                <w:kern w:val="2"/>
                <w:sz w:val="24"/>
                <w:szCs w:val="24"/>
                <w:lang w:val="en-US" w:eastAsia="zh-CN" w:bidi="ar"/>
              </w:rPr>
              <w:t>3min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作业布置（</w:t>
            </w:r>
            <w:r>
              <w:rPr>
                <w:rFonts w:hint="default" w:ascii="Times New Roman" w:hAnsi="宋体" w:eastAsia="宋体" w:cs="Times New Roman"/>
                <w:kern w:val="2"/>
                <w:sz w:val="24"/>
                <w:szCs w:val="24"/>
                <w:lang w:val="en-US" w:eastAsia="zh-CN" w:bidi="ar"/>
              </w:rPr>
              <w:t>2min</w:t>
            </w:r>
            <w:r>
              <w:rPr>
                <w:rFonts w:hint="eastAsia" w:ascii="Times New Roman" w:hAnsi="宋体" w:eastAsia="宋体" w:cs="宋体"/>
                <w:kern w:val="2"/>
                <w:sz w:val="24"/>
                <w:szCs w:val="24"/>
                <w:lang w:val="en-US" w:eastAsia="zh-CN" w:bidi="ar"/>
              </w:rPr>
              <w:t>）</w:t>
            </w:r>
          </w:p>
          <w:p w14:paraId="4D64A871">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p>
        </w:tc>
      </w:tr>
      <w:tr w14:paraId="0B7D0395">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4472C4" w:themeColor="accent5" w:sz="4" w:space="0"/>
              <w:bottom w:val="double" w:color="4472C4" w:themeColor="accent5" w:sz="4" w:space="0"/>
            </w:tcBorders>
            <w:shd w:val="clear" w:color="auto" w:fill="00B0F0"/>
            <w:vAlign w:val="center"/>
          </w:tcPr>
          <w:p w14:paraId="08947511">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FFFFFF" w:themeColor="background1"/>
                <w:sz w:val="24"/>
                <w:szCs w:val="24"/>
                <w14:textFill>
                  <w14:solidFill>
                    <w14:schemeClr w14:val="bg1"/>
                  </w14:solidFill>
                </w14:textFill>
              </w:rPr>
            </w:pPr>
            <w:r>
              <w:rPr>
                <w:rFonts w:hint="eastAsia" w:ascii="Times New Roman" w:hAnsi="Times New Roman"/>
                <w:b/>
                <w:bCs w:val="0"/>
                <w:color w:val="FFFFFF" w:themeColor="background1"/>
                <w:sz w:val="24"/>
                <w:szCs w:val="24"/>
                <w14:textFill>
                  <w14:solidFill>
                    <w14:schemeClr w14:val="bg1"/>
                  </w14:solidFill>
                </w14:textFill>
              </w:rPr>
              <w:t>教学过程</w:t>
            </w:r>
          </w:p>
        </w:tc>
        <w:tc>
          <w:tcPr>
            <w:tcW w:w="7208" w:type="dxa"/>
            <w:tcBorders>
              <w:top w:val="double" w:color="4472C4" w:themeColor="accent5" w:sz="4" w:space="0"/>
              <w:bottom w:val="double" w:color="4472C4" w:themeColor="accent5" w:sz="4" w:space="0"/>
            </w:tcBorders>
            <w:shd w:val="clear" w:color="auto" w:fill="00B0F0"/>
            <w:vAlign w:val="center"/>
          </w:tcPr>
          <w:p w14:paraId="0DCD2181">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FFFFFF" w:themeColor="background1"/>
                <w:sz w:val="24"/>
                <w:szCs w:val="24"/>
                <w14:textFill>
                  <w14:solidFill>
                    <w14:schemeClr w14:val="bg1"/>
                  </w14:solidFill>
                </w14:textFill>
              </w:rPr>
            </w:pPr>
            <w:r>
              <w:rPr>
                <w:rFonts w:hint="eastAsia" w:ascii="Times New Roman" w:hAnsi="Times New Roman"/>
                <w:b/>
                <w:bCs w:val="0"/>
                <w:color w:val="FFFFFF" w:themeColor="background1"/>
                <w:sz w:val="24"/>
                <w:szCs w:val="24"/>
                <w14:textFill>
                  <w14:solidFill>
                    <w14:schemeClr w14:val="bg1"/>
                  </w14:solidFill>
                </w14:textFill>
              </w:rPr>
              <w:t>主要教学内容及步骤</w:t>
            </w:r>
          </w:p>
        </w:tc>
        <w:tc>
          <w:tcPr>
            <w:tcW w:w="1696" w:type="dxa"/>
            <w:tcBorders>
              <w:top w:val="double" w:color="4472C4" w:themeColor="accent5" w:sz="4" w:space="0"/>
              <w:bottom w:val="double" w:color="4472C4" w:themeColor="accent5" w:sz="4" w:space="0"/>
            </w:tcBorders>
            <w:shd w:val="clear" w:color="auto" w:fill="00B0F0"/>
            <w:vAlign w:val="center"/>
          </w:tcPr>
          <w:p w14:paraId="2AB6DCBA">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FFFFFF" w:themeColor="background1"/>
                <w:sz w:val="24"/>
                <w:szCs w:val="24"/>
                <w14:textFill>
                  <w14:solidFill>
                    <w14:schemeClr w14:val="bg1"/>
                  </w14:solidFill>
                </w14:textFill>
              </w:rPr>
            </w:pPr>
            <w:r>
              <w:rPr>
                <w:rFonts w:hint="default" w:ascii="Times New Roman" w:hAnsi="Times New Roman"/>
                <w:b/>
                <w:bCs w:val="0"/>
                <w:color w:val="FFFFFF" w:themeColor="background1"/>
                <w:sz w:val="24"/>
                <w:szCs w:val="24"/>
                <w14:textFill>
                  <w14:solidFill>
                    <w14:schemeClr w14:val="bg1"/>
                  </w14:solidFill>
                </w14:textFill>
              </w:rPr>
              <w:t>设计意图</w:t>
            </w:r>
          </w:p>
        </w:tc>
      </w:tr>
      <w:tr w14:paraId="199800F5">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4472C4" w:themeColor="accent5" w:sz="4" w:space="0"/>
              <w:tl2br w:val="nil"/>
              <w:tr2bl w:val="nil"/>
            </w:tcBorders>
            <w:shd w:val="clear" w:color="auto" w:fill="B7F1FF"/>
            <w:vAlign w:val="center"/>
          </w:tcPr>
          <w:p w14:paraId="0EEAD106">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14:paraId="593C4683">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7208" w:type="dxa"/>
            <w:tcBorders>
              <w:top w:val="double" w:color="4472C4" w:themeColor="accent5" w:sz="4" w:space="0"/>
              <w:tl2br w:val="nil"/>
              <w:tr2bl w:val="nil"/>
            </w:tcBorders>
            <w:vAlign w:val="center"/>
          </w:tcPr>
          <w:p w14:paraId="7F84D9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FC6E9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696" w:type="dxa"/>
            <w:tcBorders>
              <w:top w:val="double" w:color="4472C4" w:themeColor="accent5" w:sz="4" w:space="0"/>
              <w:tl2br w:val="nil"/>
              <w:tr2bl w:val="nil"/>
            </w:tcBorders>
            <w:vAlign w:val="center"/>
          </w:tcPr>
          <w:p w14:paraId="47E834E0">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12EB48D9">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4472C4" w:themeColor="accent5" w:sz="4" w:space="0"/>
              <w:tl2br w:val="nil"/>
              <w:tr2bl w:val="nil"/>
            </w:tcBorders>
            <w:shd w:val="clear" w:color="auto" w:fill="B7F1FF"/>
            <w:vAlign w:val="center"/>
          </w:tcPr>
          <w:p w14:paraId="3F543B5C">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3855A218">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p w14:paraId="0ACD3D37">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p>
        </w:tc>
        <w:tc>
          <w:tcPr>
            <w:tcW w:w="7208" w:type="dxa"/>
            <w:tcBorders>
              <w:top w:val="double" w:color="4472C4" w:themeColor="accent5" w:sz="4" w:space="0"/>
              <w:tl2br w:val="nil"/>
              <w:tr2bl w:val="nil"/>
            </w:tcBorders>
            <w:vAlign w:val="center"/>
          </w:tcPr>
          <w:p w14:paraId="1C21E1A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C00000"/>
                <w:sz w:val="24"/>
                <w:szCs w:val="24"/>
                <w:lang w:eastAsia="zh-CN"/>
              </w:rPr>
            </w:pPr>
            <w:r>
              <w:rPr>
                <w:rFonts w:hint="eastAsia" w:ascii="宋体" w:hAnsi="宋体" w:eastAsia="宋体" w:cs="宋体"/>
                <w:b/>
                <w:color w:val="C00000"/>
                <w:sz w:val="24"/>
                <w:szCs w:val="24"/>
              </w:rPr>
              <w:t>【教师】</w:t>
            </w:r>
            <w:r>
              <w:rPr>
                <w:rFonts w:hint="eastAsia" w:ascii="宋体" w:hAnsi="宋体" w:eastAsia="宋体" w:cs="宋体"/>
                <w:b w:val="0"/>
                <w:bCs/>
                <w:color w:val="C00000"/>
                <w:sz w:val="24"/>
                <w:szCs w:val="24"/>
                <w:lang w:val="en-US" w:eastAsia="zh-CN"/>
              </w:rPr>
              <w:t>展示贫血</w:t>
            </w:r>
          </w:p>
          <w:p w14:paraId="21771D91">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一、缺铁性贫血 </w:t>
            </w:r>
          </w:p>
          <w:p w14:paraId="0AF1905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缺铁性贫血（iron defi cient anemia，IDA）是指体内贮存铁缺乏导致血红蛋白合成不足，红细胞生成减少而引起的小细胞低色素性贫血。本病是我国最常见的一种贫血，以生长发育期的儿童及育龄期女性发病率最高。铁缺乏症包括开始时体内贮铁耗尽（iron depletion，ID），继之缺铁性红细胞生成（iron defi cient erythropoiesis，IDE），最终引起缺铁性贫血（iron defi cient anemia，IDA）。 </w:t>
            </w:r>
          </w:p>
          <w:p w14:paraId="7E5F1F89">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（一）铁的代谢 </w:t>
            </w:r>
          </w:p>
          <w:p w14:paraId="78293679">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（二）病因 </w:t>
            </w:r>
          </w:p>
          <w:p w14:paraId="553956B9">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 xml:space="preserve">1. 铁的需要量增加而摄入不足 </w:t>
            </w:r>
            <w:r>
              <w:rPr>
                <w:rFonts w:hint="eastAsia" w:ascii="宋体" w:hAnsi="宋体" w:eastAsia="宋体" w:cs="宋体"/>
                <w:bCs/>
                <w:sz w:val="24"/>
                <w:szCs w:val="24"/>
                <w:lang w:val="en-US" w:eastAsia="zh-CN"/>
              </w:rPr>
              <w:t xml:space="preserve">婴幼儿和生长发育期儿童、青少年、育龄期女性等需铁量增加，若饮食结构不合理，食物中铁含量不足就容易发生缺铁性贫血。 </w:t>
            </w:r>
          </w:p>
          <w:p w14:paraId="6E09F691">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铁的吸收不良</w:t>
            </w:r>
            <w:r>
              <w:rPr>
                <w:rFonts w:hint="eastAsia" w:ascii="宋体" w:hAnsi="宋体" w:eastAsia="宋体" w:cs="宋体"/>
                <w:bCs/>
                <w:sz w:val="24"/>
                <w:szCs w:val="24"/>
                <w:lang w:val="en-US" w:eastAsia="zh-CN"/>
              </w:rPr>
              <w:t xml:space="preserve"> 铁主要在十二指肠及空肠上端吸收，胃大部分切除、萎缩性胃炎及胃肠吻合手术后、肠道功能紊乱等均可影响铁的吸收，引起缺铁性贫血。 </w:t>
            </w:r>
          </w:p>
          <w:p w14:paraId="2880A195">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3. 铁丢失过多</w:t>
            </w:r>
            <w:r>
              <w:rPr>
                <w:rFonts w:hint="eastAsia" w:ascii="宋体" w:hAnsi="宋体" w:eastAsia="宋体" w:cs="宋体"/>
                <w:bCs/>
                <w:sz w:val="24"/>
                <w:szCs w:val="24"/>
                <w:lang w:val="en-US" w:eastAsia="zh-CN"/>
              </w:rPr>
              <w:t xml:space="preserve"> 慢性失血，如消化性溃疡、钩虫病、痔出血、肠息肉等。 </w:t>
            </w:r>
          </w:p>
          <w:p w14:paraId="061DD572">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铁缺乏引起的缺铁性贫血经历以下几个过程：铁缺乏期、红细胞生成缺铁期、缺铁性贫血期。缺铁不影响红细胞的分裂和增殖，但血红蛋白不足，故缺铁性贫血是小细胞低色素性贫血。 </w:t>
            </w:r>
          </w:p>
          <w:p w14:paraId="70B4E495">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（三）临床表现 </w:t>
            </w:r>
          </w:p>
          <w:p w14:paraId="3597C2D0">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 xml:space="preserve">1. 一般表现 </w:t>
            </w:r>
            <w:r>
              <w:rPr>
                <w:rFonts w:hint="eastAsia" w:ascii="宋体" w:hAnsi="宋体" w:eastAsia="宋体" w:cs="宋体"/>
                <w:bCs/>
                <w:sz w:val="24"/>
                <w:szCs w:val="24"/>
                <w:lang w:val="en-US" w:eastAsia="zh-CN"/>
              </w:rPr>
              <w:t xml:space="preserve">头晕、头痛、面色苍白、乏力、易倦、心悸、 </w:t>
            </w:r>
          </w:p>
          <w:p w14:paraId="4C1CE6F0">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活动后气短、眼花耳鸣、记忆力减退等。 </w:t>
            </w:r>
          </w:p>
          <w:p w14:paraId="13864D7E">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缺铁表现</w:t>
            </w:r>
            <w:r>
              <w:rPr>
                <w:rFonts w:hint="eastAsia" w:ascii="宋体" w:hAnsi="宋体" w:eastAsia="宋体" w:cs="宋体"/>
                <w:bCs/>
                <w:sz w:val="24"/>
                <w:szCs w:val="24"/>
                <w:lang w:val="en-US" w:eastAsia="zh-CN"/>
              </w:rPr>
              <w:t xml:space="preserve"> </w:t>
            </w:r>
          </w:p>
          <w:p w14:paraId="6526F594">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（1）营养缺乏：皮肤干燥、角化、萎缩、无光泽，毛发 </w:t>
            </w:r>
          </w:p>
          <w:p w14:paraId="73EED19D">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干枯易脱落，指（趾）甲扁平、不光整、脆薄易裂、部分患者呈匙状甲（“反甲”）。 </w:t>
            </w:r>
          </w:p>
          <w:p w14:paraId="0A12E999">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（2）黏膜损害：表现口角炎、舌炎、舌乳头萎缩，严重者引起吞咽困难，或咽下梗阻感（Plummer-Vinson 综合征）表现。 </w:t>
            </w:r>
          </w:p>
          <w:p w14:paraId="0A9E13F7">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（3）胃酸缺乏及胃功能紊乱：食欲减退、胃酸减少、吸收不良、便稀或便秘。约1/3 患者有慢性萎缩性胃炎。 </w:t>
            </w:r>
          </w:p>
          <w:p w14:paraId="72C385BC">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（4）神经、精神系统异常：儿童及青少年生长发育迟缓、体力下降、智商低、易兴奋激动、注意力不集中、烦躁、头痛、易动、易怒或淡漠、异食癖（如喜食盐块、土块、生米等）。约 1/3 患者出现神经痛、末梢神经炎，严重者可出现颅内压增高、视盘水肿。</w:t>
            </w:r>
          </w:p>
          <w:p w14:paraId="65861AF2">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 （四）辅助检查 </w:t>
            </w:r>
          </w:p>
          <w:p w14:paraId="761069D4">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1. 外周血象</w:t>
            </w:r>
            <w:r>
              <w:rPr>
                <w:rFonts w:hint="eastAsia" w:ascii="宋体" w:hAnsi="宋体" w:eastAsia="宋体" w:cs="宋体"/>
                <w:bCs/>
                <w:sz w:val="24"/>
                <w:szCs w:val="24"/>
                <w:lang w:val="en-US" w:eastAsia="zh-CN"/>
              </w:rPr>
              <w:t xml:space="preserve"> 典型血象为小细胞低色素性贫血。血涂片中可见红细胞体积小、中央淡染区扩大。网织红细胞计数多正常或轻度增高。白细胞和血小板计数可正常或减低。平均红细胞体积（MCV）＜ 80fl ，平均红细胞血红蛋白量（MCH）＜ 27pg，平均红细胞血红蛋白浓度（MCHC）＜ 32%。 </w:t>
            </w:r>
          </w:p>
          <w:p w14:paraId="023F6ABA">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骨髓</w:t>
            </w:r>
            <w:r>
              <w:rPr>
                <w:rFonts w:hint="eastAsia" w:ascii="宋体" w:hAnsi="宋体" w:eastAsia="宋体" w:cs="宋体"/>
                <w:bCs/>
                <w:sz w:val="24"/>
                <w:szCs w:val="24"/>
                <w:lang w:val="en-US" w:eastAsia="zh-CN"/>
              </w:rPr>
              <w:t xml:space="preserve"> 红细胞系统增生活跃，以中晚幼红细胞增生为主，幼红细胞体积偏小、核染色质致密，胞质减少、染色偏蓝，边缘不整齐，有血红蛋白形成不良的表现。骨髓铁染色消失，其反映单核一巨噬细胞系统中储存铁缺乏，可作为诊断缺铁的金标准。 </w:t>
            </w:r>
          </w:p>
          <w:p w14:paraId="063EC349">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 xml:space="preserve">3. 生化检查 </w:t>
            </w:r>
            <w:r>
              <w:rPr>
                <w:rFonts w:hint="eastAsia" w:ascii="宋体" w:hAnsi="宋体" w:eastAsia="宋体" w:cs="宋体"/>
                <w:bCs/>
                <w:sz w:val="24"/>
                <w:szCs w:val="24"/>
                <w:lang w:val="en-US" w:eastAsia="zh-CN"/>
              </w:rPr>
              <w:t xml:space="preserve">血清铁蛋白（SF）减少（＜12μg/L）是早期诊断储存铁缺乏的常用指标。转铁蛋白饱和度（TS）降低（＜ 15%），血清铁（ST）减少（＜ 8.95µmol/L，即 50µg/ </w:t>
            </w:r>
          </w:p>
          <w:p w14:paraId="15F53FB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dl）；总铁结合力（TIBC）增高（＞ 64.44µmol/L，即 360µg/dl）。 </w:t>
            </w:r>
          </w:p>
          <w:p w14:paraId="0475FB88">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（五）诊断 </w:t>
            </w:r>
          </w:p>
          <w:p w14:paraId="12538AEF">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IDA 诊断包括以下三方面： </w:t>
            </w:r>
          </w:p>
          <w:p w14:paraId="0AE4156A">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 xml:space="preserve">1. 贫血为小细胞低色素性 </w:t>
            </w:r>
            <w:r>
              <w:rPr>
                <w:rFonts w:hint="eastAsia" w:ascii="宋体" w:hAnsi="宋体" w:eastAsia="宋体" w:cs="宋体"/>
                <w:bCs/>
                <w:sz w:val="24"/>
                <w:szCs w:val="24"/>
                <w:lang w:val="en-US" w:eastAsia="zh-CN"/>
              </w:rPr>
              <w:t xml:space="preserve">男性 Hb ＜ 120g/L，女性 Hb ＜ 110g/L，孕妇 Hb ＜ 100g/ L；MCV ＜ 80fl ，MCH ＜ 27pg，MCHC ＜ 32%。 </w:t>
            </w:r>
          </w:p>
          <w:p w14:paraId="0EBD60DE">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有缺铁的依据</w:t>
            </w:r>
            <w:r>
              <w:rPr>
                <w:rFonts w:hint="eastAsia" w:ascii="宋体" w:hAnsi="宋体" w:eastAsia="宋体" w:cs="宋体"/>
                <w:bCs/>
                <w:sz w:val="24"/>
                <w:szCs w:val="24"/>
                <w:lang w:val="en-US" w:eastAsia="zh-CN"/>
              </w:rPr>
              <w:t xml:space="preserve"> 符合贮铁耗尽（ID）或缺铁性红细胞生成（IDE）的诊断。 </w:t>
            </w:r>
          </w:p>
          <w:p w14:paraId="0A90B2EA">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ID：符合下列任一条即可诊断。①血清铁蛋白＜ 12μg/L。②骨髓铁染色显示骨髓小粒可染铁消失，铁粒幼红细胞＜ 15%。 </w:t>
            </w:r>
          </w:p>
          <w:p w14:paraId="19CE9F03">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IDE：①符合 ID 诊断标准。②血清铁＜ 8.95μmol/L，总铁结合力升高＞ 64.44μmol/L，转铁蛋白饱和度＜ 15%。③红细胞游离原卟啉（FEP） &gt;0.9μmol/L（50μg/dl）。 </w:t>
            </w:r>
          </w:p>
          <w:p w14:paraId="3D38847A">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3. 存在铁缺乏的病因，铁剂治疗有效 </w:t>
            </w:r>
          </w:p>
          <w:p w14:paraId="351E492F">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（六）治疗 </w:t>
            </w:r>
          </w:p>
          <w:p w14:paraId="7E2523F5">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缺铁性贫血的治疗原则是防治病因，补充铁剂。口服铁剂为治疗缺铁性贫血的首选方法。 </w:t>
            </w:r>
          </w:p>
          <w:p w14:paraId="277BBC74">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1. 病因治疗</w:t>
            </w:r>
            <w:r>
              <w:rPr>
                <w:rFonts w:hint="eastAsia" w:ascii="宋体" w:hAnsi="宋体" w:eastAsia="宋体" w:cs="宋体"/>
                <w:bCs/>
                <w:sz w:val="24"/>
                <w:szCs w:val="24"/>
                <w:lang w:val="en-US" w:eastAsia="zh-CN"/>
              </w:rPr>
              <w:t xml:space="preserve"> 尽可能去除导致 IDA 的病因。如婴幼儿、青少年和妊娠妇女营养不足引起的 IDA，应改善饮食，多给予肉、蛋、奶、水果、蔬菜等含铁丰富的食物；消化性溃疡应抑酸治疗；月经过多引起的 IDA 应调理月经；寄生虫感染者应驱虫治疗等。 </w:t>
            </w:r>
          </w:p>
          <w:p w14:paraId="113CA46F">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补铁治疗</w:t>
            </w:r>
            <w:r>
              <w:rPr>
                <w:rFonts w:hint="eastAsia" w:ascii="宋体" w:hAnsi="宋体" w:eastAsia="宋体" w:cs="宋体"/>
                <w:bCs/>
                <w:sz w:val="24"/>
                <w:szCs w:val="24"/>
                <w:lang w:val="en-US" w:eastAsia="zh-CN"/>
              </w:rPr>
              <w:t xml:space="preserve"> 首选口服铁剂，无机铁以硫酸亚铁为代表，有机铁则以右旋糖酐铁、葡萄糖亚铁、富马酸铁、琥珀酸亚铁等。无机铁的不良反应比有机铁明显。如硫酸亚铁0.3g，每日 3 次；琥铂酸铁 0.1g，每日 3 次。餐后服用胃肠道反应小且易耐受。应注意钙剂、乳类、茶等抑制铁剂的吸收，鱼、肉类、维生素 C 可增加铁剂的吸收。口服铁剂后，先是外周血网织红细胞增多，5 ～ 10 天达到高峰，2 周后血红蛋白浓度上升，一般 2 个月左右恢复正常。铁剂治疗在血红蛋白恢复正常后至少持续 4 ～ 6 个月，待铁蛋白正常后停药。口服铁剂不能耐受或吸收障碍，可用右旋糖酐铁（iron dextran）肌内注射，每次50mg，每日或隔日 1 次，缓慢注射。输血只适于严重贫血伴有严重代偿不全者，速度必须减慢。铁剂补充后网织红明显升高 8% 左右可看作治疗有效。 </w:t>
            </w:r>
          </w:p>
          <w:p w14:paraId="08FF1494">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二、再生障碍性贫血</w:t>
            </w:r>
            <w:r>
              <w:rPr>
                <w:rFonts w:hint="eastAsia" w:ascii="宋体" w:hAnsi="宋体" w:eastAsia="宋体" w:cs="宋体"/>
                <w:bCs/>
                <w:sz w:val="24"/>
                <w:szCs w:val="24"/>
                <w:lang w:val="en-US" w:eastAsia="zh-CN"/>
              </w:rPr>
              <w:t xml:space="preserve"> </w:t>
            </w:r>
          </w:p>
          <w:p w14:paraId="25450E02">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再生障碍性贫血（aplastic anemia，AA，简称再障）是由多种病因引起的造血干细胞数量减少和（或）功能障碍引起的一类贫血，是一种获得性骨髓造血功能衰竭症。临床主要特点为骨髓功能低下、外周血中全血细胞减少和进行性贫血、出血、感染。各年龄段均可发生，以青壮年居多，男性略高于女性。 </w:t>
            </w:r>
          </w:p>
          <w:p w14:paraId="467F1742">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根据发病急缓、病情轻重分为重型（SAA）和非重型（NSAA）。国内将 AA 分为急性型（AAA）和慢性型（CAA）。我国再障发病率每年为 0.74/10 万人，重型（SAA）发病率为 0.14/10 万人 ，非重型（ NSAA ）发病率为 0.6/10 万人 。 </w:t>
            </w:r>
          </w:p>
          <w:p w14:paraId="16BCDB25">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（一）病因</w:t>
            </w:r>
            <w:r>
              <w:rPr>
                <w:rFonts w:hint="eastAsia" w:ascii="宋体" w:hAnsi="宋体" w:eastAsia="宋体" w:cs="宋体"/>
                <w:bCs/>
                <w:sz w:val="24"/>
                <w:szCs w:val="24"/>
                <w:lang w:val="en-US" w:eastAsia="zh-CN"/>
              </w:rPr>
              <w:t xml:space="preserve"> </w:t>
            </w:r>
          </w:p>
          <w:p w14:paraId="76617FD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原发性再障病因不明，继发性再障的发生于下列因素有关： </w:t>
            </w:r>
          </w:p>
          <w:p w14:paraId="3CBEB9A3">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1. 药物及化学毒物</w:t>
            </w:r>
            <w:r>
              <w:rPr>
                <w:rFonts w:hint="eastAsia" w:ascii="宋体" w:hAnsi="宋体" w:eastAsia="宋体" w:cs="宋体"/>
                <w:bCs/>
                <w:sz w:val="24"/>
                <w:szCs w:val="24"/>
                <w:lang w:val="en-US" w:eastAsia="zh-CN"/>
              </w:rPr>
              <w:t xml:space="preserve"> 药物是引起再障的最常见的病因，其中以氯霉素最多见，其次为解热镇痛药，还有抗肿瘤药、磺胺类、抗甲状腺药等。化学毒物中以苯及其衍生物是最严重的骨髓抑制剂，如油漆、塑料、染料、杀虫剂等。 </w:t>
            </w:r>
          </w:p>
          <w:p w14:paraId="5CF7AB58">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物理因素</w:t>
            </w:r>
            <w:r>
              <w:rPr>
                <w:rFonts w:hint="eastAsia" w:ascii="宋体" w:hAnsi="宋体" w:eastAsia="宋体" w:cs="宋体"/>
                <w:bCs/>
                <w:sz w:val="24"/>
                <w:szCs w:val="24"/>
                <w:lang w:val="en-US" w:eastAsia="zh-CN"/>
              </w:rPr>
              <w:t xml:space="preserve"> 各种形式的电离辐射，如 X 射线、γ 射线、放射性核素等。 </w:t>
            </w:r>
          </w:p>
          <w:p w14:paraId="798DF388">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3. 病毒感染</w:t>
            </w:r>
            <w:r>
              <w:rPr>
                <w:rFonts w:hint="eastAsia" w:ascii="宋体" w:hAnsi="宋体" w:eastAsia="宋体" w:cs="宋体"/>
                <w:bCs/>
                <w:sz w:val="24"/>
                <w:szCs w:val="24"/>
                <w:lang w:val="en-US" w:eastAsia="zh-CN"/>
              </w:rPr>
              <w:t xml:space="preserve"> 风疹病毒、EB 病毒、流感病毒以及各型肝炎病毒等均可引起再障。 </w:t>
            </w:r>
          </w:p>
          <w:p w14:paraId="58CE7EFB">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4. 其他因素</w:t>
            </w:r>
            <w:r>
              <w:rPr>
                <w:rFonts w:hint="eastAsia" w:ascii="宋体" w:hAnsi="宋体" w:eastAsia="宋体" w:cs="宋体"/>
                <w:bCs/>
                <w:sz w:val="24"/>
                <w:szCs w:val="24"/>
                <w:lang w:val="en-US" w:eastAsia="zh-CN"/>
              </w:rPr>
              <w:t xml:space="preserve"> 阵发性睡眠性血红蛋白尿、系统性红斑狼疮、慢性肾衰竭、恶性肿瘤等疾病可演变成再障。 </w:t>
            </w:r>
          </w:p>
          <w:p w14:paraId="7ACCE582">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再障的发病机制目前尚不明确，主要认为：骨髓造血干细胞内在缺陷（“种子学说”）、骨髓造血微循环缺陷（“土壤学说”）、异常免疫反应损伤造血干细胞（免疫学说、“虫子学说”）及遗传倾向。 </w:t>
            </w:r>
          </w:p>
          <w:p w14:paraId="76953737">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 xml:space="preserve">（二）临床表现 </w:t>
            </w:r>
          </w:p>
          <w:p w14:paraId="2C243720">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再生障碍性贫血的主要症状为进行性贫血、出血、反复感染。无肝、脾、淋巴结肿大。 </w:t>
            </w:r>
          </w:p>
          <w:p w14:paraId="02F6BEBC">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1. 急性再障（重型再障Ⅰ型—SAA—I）</w:t>
            </w:r>
            <w:r>
              <w:rPr>
                <w:rFonts w:hint="eastAsia" w:ascii="宋体" w:hAnsi="宋体" w:eastAsia="宋体" w:cs="宋体"/>
                <w:bCs/>
                <w:sz w:val="24"/>
                <w:szCs w:val="24"/>
                <w:lang w:val="en-US" w:eastAsia="zh-CN"/>
              </w:rPr>
              <w:t xml:space="preserve"> 较少见。起病急、进展快，病情重；早期主要表现为出血和感染，随着病程的进展出现进行性加重的贫血，伴明显的乏力、头晕及心悸等。出血部位广泛，有皮肤、黏膜出血，60% 以上有内脏出血，甚至发生颅内出血，常为患者死亡的主要原因。皮肤、黏膜反复感染，常波及内脏，以肺炎、败血症常见，感染不易控制。若仅采取一般治疗患者多在 6 ～ 12 个月内死亡。 </w:t>
            </w:r>
          </w:p>
          <w:p w14:paraId="4A1AF36C">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慢性再障（非重型）</w:t>
            </w:r>
            <w:r>
              <w:rPr>
                <w:rFonts w:hint="eastAsia" w:ascii="宋体" w:hAnsi="宋体" w:eastAsia="宋体" w:cs="宋体"/>
                <w:bCs/>
                <w:sz w:val="24"/>
                <w:szCs w:val="24"/>
                <w:lang w:val="en-US" w:eastAsia="zh-CN"/>
              </w:rPr>
              <w:t xml:space="preserve"> 较多见。起病缓，病程长，贫血为主要表现，感染、出血较轻，以皮肤、黏膜为主。很少有内脏出血。 </w:t>
            </w:r>
          </w:p>
          <w:p w14:paraId="7FCAAA77">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感染以呼吸道多见，合并严重感染者少。经恰当治疗病情可缓解或治愈，预后相对较好。经治疗约有 30% ～ 50% 的患者痊愈。少数病例病情恶化（重型再障Ⅱ型）表现同性再障，预后极差。 </w:t>
            </w:r>
          </w:p>
          <w:p w14:paraId="47E94103">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3. 实验室检查</w:t>
            </w:r>
            <w:r>
              <w:rPr>
                <w:rFonts w:hint="eastAsia" w:ascii="宋体" w:hAnsi="宋体" w:eastAsia="宋体" w:cs="宋体"/>
                <w:bCs/>
                <w:sz w:val="24"/>
                <w:szCs w:val="24"/>
                <w:lang w:val="en-US" w:eastAsia="zh-CN"/>
              </w:rPr>
              <w:t xml:space="preserve"> </w:t>
            </w:r>
          </w:p>
          <w:p w14:paraId="09E876F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（1）血常规：三系血细胞减少。网织红细胞绝对值降低。</w:t>
            </w:r>
          </w:p>
          <w:p w14:paraId="4E5DAFD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急性再障中性粒细胞常低于 0.5×109 /L，慢性再障＞ 0.5×109 /L，而淋巴细胞相对值增高。 </w:t>
            </w:r>
          </w:p>
          <w:p w14:paraId="4925F704">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（2）骨髓象：急性型多部位骨髓增生低下或极度低下，粒、红两系均明显减少，无巨核细胞。慢性型骨髓增生减低，可出现局灶性增生，在局灶增生部位，骨髓象呈增生活跃，但巨核细胞均减少。 </w:t>
            </w:r>
          </w:p>
          <w:p w14:paraId="4AEF641B">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（3）骨髓活检和放射性核素扫描：骨髓活检可见红骨髓显著减少，重型的骨髓组织示纯粹的脂肪髓，其间杂有淋巴细胞、浆细胞等，脂肪细胞比例增多为其典型改变。硫化锝 99m 或氯化铟 111 全身骨髓 γ 照相可反映全身功能性骨髓的分布，再障时在正常骨髓部位的放射性摄取低下甚至消失。 </w:t>
            </w:r>
          </w:p>
          <w:p w14:paraId="19C5E2AD">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（三）诊断 </w:t>
            </w:r>
          </w:p>
          <w:p w14:paraId="788936AB">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主要根据进行性贫血、伴出血、感染，多无肝、脾、淋巴结肿大；血象检查全血细胞减少，网织红细胞绝对值减少，骨髓多部位增生低下或重度减低，巨核细胞减少，一般抗贫血药物治疗无效，能除外其他全血细胞减少的疾病，可诊断为再障。 重型再障的血象诊断标准是： </w:t>
            </w:r>
          </w:p>
          <w:p w14:paraId="158DE502">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（1）网织红细胞＜ 0.01，绝对值＜ 15×109 /L； </w:t>
            </w:r>
          </w:p>
          <w:p w14:paraId="6A2FA1C8">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（2）中性粒细胞绝对值＜ 0.5×109 /L； </w:t>
            </w:r>
          </w:p>
          <w:p w14:paraId="7BABB99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（3）血小板＜ 20×109 /L。 </w:t>
            </w:r>
          </w:p>
          <w:p w14:paraId="3C82BFA8">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 xml:space="preserve">（四）治疗 </w:t>
            </w:r>
          </w:p>
          <w:p w14:paraId="5420D9FB">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治疗原则：消除病因、对症支持治疗。 </w:t>
            </w:r>
          </w:p>
          <w:p w14:paraId="4F14F910">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1. 消除病因</w:t>
            </w:r>
            <w:r>
              <w:rPr>
                <w:rFonts w:hint="eastAsia" w:ascii="宋体" w:hAnsi="宋体" w:eastAsia="宋体" w:cs="宋体"/>
                <w:bCs/>
                <w:sz w:val="24"/>
                <w:szCs w:val="24"/>
                <w:lang w:val="en-US" w:eastAsia="zh-CN"/>
              </w:rPr>
              <w:t xml:space="preserve"> 祛除或避免周围环境中可能导致骨髓损害的因素，禁用对骨髓有抑制作用的药物。 </w:t>
            </w:r>
          </w:p>
          <w:p w14:paraId="618178FC">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2. 对症和支持治疗</w:t>
            </w:r>
            <w:r>
              <w:rPr>
                <w:rFonts w:hint="eastAsia" w:ascii="宋体" w:hAnsi="宋体" w:eastAsia="宋体" w:cs="宋体"/>
                <w:bCs/>
                <w:sz w:val="24"/>
                <w:szCs w:val="24"/>
                <w:lang w:val="en-US" w:eastAsia="zh-CN"/>
              </w:rPr>
              <w:t xml:space="preserve"> </w:t>
            </w:r>
          </w:p>
          <w:p w14:paraId="613F6E66">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（1）防治感染：注意饮食及环境卫生，减少感染机会。发生感染时早用有效抗生素。白细胞数＜ 1×109 /L 时可采取保护性隔离。 </w:t>
            </w:r>
          </w:p>
          <w:p w14:paraId="23166E42">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（2）止血：皮肤、鼻黏膜出血可用止血药物。出血严重可输浓缩血小板或新鲜冷冻血浆。 </w:t>
            </w:r>
          </w:p>
          <w:p w14:paraId="1CEF1317">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（3）纠正贫血：输血是主要的支持疗法。特别是成分输血，如血红蛋白＜ 60g/L，可输注红细胞。 </w:t>
            </w:r>
          </w:p>
          <w:p w14:paraId="4E5282E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（4）护肝治疗：AA 常合并肝功能损害，应酌情选用护肝药物。 </w:t>
            </w:r>
          </w:p>
          <w:p w14:paraId="1E28837B">
            <w:pPr>
              <w:keepNext w:val="0"/>
              <w:keepLines w:val="0"/>
              <w:widowControl/>
              <w:suppressLineNumbers w:val="0"/>
              <w:spacing w:before="0" w:beforeAutospacing="0" w:after="0" w:afterAutospacing="0" w:line="360" w:lineRule="auto"/>
              <w:ind w:left="0" w:right="0" w:firstLine="482" w:firstLineChars="200"/>
              <w:jc w:val="left"/>
              <w:rPr>
                <w:rFonts w:hint="eastAsia" w:ascii="宋体" w:hAnsi="宋体" w:eastAsia="宋体" w:cs="宋体"/>
                <w:bCs/>
                <w:sz w:val="24"/>
                <w:szCs w:val="24"/>
                <w:lang w:val="en-US" w:eastAsia="zh-CN"/>
              </w:rPr>
            </w:pPr>
            <w:r>
              <w:rPr>
                <w:rFonts w:hint="eastAsia" w:ascii="宋体" w:hAnsi="宋体" w:eastAsia="宋体" w:cs="宋体"/>
                <w:b/>
                <w:bCs w:val="0"/>
                <w:sz w:val="24"/>
                <w:szCs w:val="24"/>
                <w:lang w:val="en-US" w:eastAsia="zh-CN"/>
              </w:rPr>
              <w:t>3. 药物治疗</w:t>
            </w:r>
            <w:r>
              <w:rPr>
                <w:rFonts w:hint="eastAsia" w:ascii="宋体" w:hAnsi="宋体" w:eastAsia="宋体" w:cs="宋体"/>
                <w:bCs/>
                <w:sz w:val="24"/>
                <w:szCs w:val="24"/>
                <w:lang w:val="en-US" w:eastAsia="zh-CN"/>
              </w:rPr>
              <w:t xml:space="preserve"> </w:t>
            </w:r>
          </w:p>
          <w:p w14:paraId="4D9F744E">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（1）免疫抑制治疗： </w:t>
            </w:r>
          </w:p>
          <w:p w14:paraId="186DCCC0">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①抗淋巴 / 胸腺细胞球蛋白（ALG/ATG）：用于 SAA。用药过程中用糖皮质激素防治过敏反应和血清病；可与环孢素（CsA）组成强化免疫抑制方案。 </w:t>
            </w:r>
          </w:p>
          <w:p w14:paraId="281D1FDB">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②环孢素：6mg/（kg·d）左右，疗程一般为 1 年。 </w:t>
            </w:r>
          </w:p>
          <w:p w14:paraId="531F95BD">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③其他：CD3 单克隆抗体、麦考酚吗乙酯（MMF，骁悉）、环磷酰胺、甲泼尼龙等治疗 SAA。</w:t>
            </w:r>
          </w:p>
          <w:p w14:paraId="2B576B4F">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（2）促造血治疗： </w:t>
            </w:r>
          </w:p>
          <w:p w14:paraId="743D7F13">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①雄激素：是治疗慢性再障的首选药物，可刺激肾脏产生促红细胞生成素，并直接作用于骨髓促进红细胞生成。a. 司坦唑醇（康力龙）2mg，每日 3 次；b. 十一酸睾酮（安雄）40 ～ 80mg 每日 3 次；c. 达那唑 0.2g，每日 3 次；d. 丙酸睾酮 100mg/d 肌注。应视药物的作用效果和不良反应，如男性化、肝功能损害等调整疗程及剂量。 </w:t>
            </w:r>
          </w:p>
          <w:p w14:paraId="4DFCDA5D">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②造血生长因子：特别适用于 SAA。一般在免疫抑制治疗 SAA 后使用，剂量可酌减，维持 3 个月以上为宜。 </w:t>
            </w:r>
          </w:p>
          <w:p w14:paraId="704EC4F5">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（3）改善骨髓造血环境：有硝酸士的宁、一叶萩碱和 654-2 等。 </w:t>
            </w:r>
          </w:p>
          <w:p w14:paraId="78B30060">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（4）脾切除：只适合于慢性再障。 </w:t>
            </w:r>
          </w:p>
          <w:p w14:paraId="15D85E79">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b/>
                <w:bCs w:val="0"/>
                <w:color w:val="000000"/>
                <w:kern w:val="2"/>
                <w:sz w:val="24"/>
                <w:szCs w:val="24"/>
                <w:lang w:val="en-US" w:eastAsia="zh-CN" w:bidi="ar"/>
              </w:rPr>
            </w:pPr>
            <w:r>
              <w:rPr>
                <w:rFonts w:hint="eastAsia" w:ascii="宋体" w:hAnsi="宋体" w:eastAsia="宋体" w:cs="宋体"/>
                <w:bCs/>
                <w:sz w:val="24"/>
                <w:szCs w:val="24"/>
                <w:lang w:val="en-US" w:eastAsia="zh-CN"/>
              </w:rPr>
              <w:t>（5）造血干细胞移植：包括骨髓移植、脐血输注、胚胎干细胞输注等。主要用于重型再障碍，40 岁以下未接受输血及未发生感染的患者，有供髓者可考虑。</w:t>
            </w:r>
          </w:p>
          <w:p w14:paraId="5F1C0A0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548235" w:themeColor="accent6" w:themeShade="BF"/>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96" w:type="dxa"/>
            <w:tcBorders>
              <w:top w:val="double" w:color="4472C4" w:themeColor="accent5" w:sz="4" w:space="0"/>
              <w:tl2br w:val="nil"/>
              <w:tr2bl w:val="nil"/>
            </w:tcBorders>
            <w:vAlign w:val="center"/>
          </w:tcPr>
          <w:p w14:paraId="44C3FA67">
            <w:pPr>
              <w:keepNext w:val="0"/>
              <w:keepLines w:val="0"/>
              <w:suppressLineNumbers w:val="0"/>
              <w:spacing w:before="0" w:beforeAutospacing="0" w:after="0" w:afterAutospacing="0" w:line="360" w:lineRule="auto"/>
              <w:ind w:left="0" w:right="0"/>
              <w:jc w:val="center"/>
              <w:rPr>
                <w:rFonts w:hint="eastAsia" w:ascii="Times New Roman" w:hAnsi="Times New Roman"/>
                <w:sz w:val="24"/>
                <w:szCs w:val="24"/>
              </w:rPr>
            </w:pPr>
            <w:r>
              <w:rPr>
                <w:rFonts w:hint="eastAsia" w:ascii="Times New Roman" w:hAnsi="Times New Roman"/>
                <w:b/>
                <w:sz w:val="24"/>
                <w:szCs w:val="24"/>
                <w:lang w:val="en-US" w:eastAsia="zh-CN"/>
              </w:rPr>
              <w:t>展示缺铁性贫血的病因及临床表现</w:t>
            </w:r>
            <w:r>
              <w:rPr>
                <w:rFonts w:hint="eastAsia" w:ascii="Times New Roman" w:hAnsi="Times New Roman"/>
                <w:b/>
                <w:sz w:val="24"/>
                <w:szCs w:val="24"/>
                <w:lang w:eastAsia="zh-CN"/>
              </w:rPr>
              <w:t>，</w:t>
            </w:r>
            <w:r>
              <w:rPr>
                <w:rFonts w:hint="eastAsia" w:ascii="Times New Roman" w:hAnsi="Times New Roman"/>
                <w:b/>
                <w:sz w:val="24"/>
                <w:szCs w:val="24"/>
              </w:rPr>
              <w:t>激发学生的学习</w:t>
            </w:r>
            <w:r>
              <w:rPr>
                <w:rFonts w:hint="eastAsia" w:ascii="Times New Roman" w:hAnsi="Times New Roman"/>
                <w:b/>
                <w:sz w:val="24"/>
                <w:szCs w:val="24"/>
                <w:lang w:val="en-US" w:eastAsia="zh-CN"/>
              </w:rPr>
              <w:t>兴趣，鼓励学生去探索</w:t>
            </w:r>
            <w:r>
              <w:rPr>
                <w:rFonts w:hint="eastAsia" w:ascii="Times New Roman" w:hAnsi="Times New Roman"/>
                <w:b/>
                <w:sz w:val="24"/>
                <w:szCs w:val="24"/>
              </w:rPr>
              <w:t>。</w:t>
            </w:r>
          </w:p>
        </w:tc>
      </w:tr>
      <w:tr w14:paraId="54184588">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4472C4" w:themeColor="accent5" w:sz="4" w:space="0"/>
              <w:tl2br w:val="nil"/>
              <w:tr2bl w:val="nil"/>
            </w:tcBorders>
            <w:shd w:val="clear" w:color="auto" w:fill="B7F1FF"/>
            <w:vAlign w:val="center"/>
          </w:tcPr>
          <w:p w14:paraId="2FE495BF">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7208" w:type="dxa"/>
            <w:tcBorders>
              <w:top w:val="double" w:color="4472C4" w:themeColor="accent5" w:sz="4" w:space="0"/>
              <w:tl2br w:val="nil"/>
              <w:tr2bl w:val="nil"/>
            </w:tcBorders>
            <w:shd w:val="clear" w:color="auto" w:fill="auto"/>
            <w:vAlign w:val="center"/>
          </w:tcPr>
          <w:p w14:paraId="6DFC84CB">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14:paraId="28D0338D">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leftChars="0" w:right="0" w:rightChars="0" w:firstLine="482" w:firstLineChars="200"/>
              <w:textAlignment w:val="auto"/>
              <w:rPr>
                <w:rFonts w:hint="eastAsia" w:ascii="Calibri" w:hAnsi="宋体" w:eastAsia="宋体" w:cs="Times New Roman"/>
                <w:bCs/>
                <w:kern w:val="2"/>
                <w:sz w:val="24"/>
                <w:szCs w:val="24"/>
                <w:lang w:val="en-US" w:eastAsia="zh-CN" w:bidi="ar-SA"/>
              </w:rPr>
            </w:pPr>
            <w:r>
              <w:rPr>
                <w:rFonts w:hint="eastAsia" w:ascii="Times New Roman" w:hAnsi="宋体"/>
                <w:b/>
                <w:bCs w:val="0"/>
                <w:sz w:val="24"/>
                <w:szCs w:val="24"/>
                <w:lang w:val="en-US" w:eastAsia="zh-CN"/>
              </w:rPr>
              <w:t>简述</w:t>
            </w:r>
            <w:r>
              <w:rPr>
                <w:rFonts w:hint="default" w:ascii="Times New Roman" w:hAnsi="宋体"/>
                <w:b/>
                <w:bCs w:val="0"/>
                <w:sz w:val="24"/>
                <w:szCs w:val="24"/>
                <w:lang w:val="en-US" w:eastAsia="zh-CN"/>
              </w:rPr>
              <w:t>再生障碍性贫血</w:t>
            </w:r>
            <w:r>
              <w:rPr>
                <w:rFonts w:hint="eastAsia" w:ascii="Times New Roman" w:hAnsi="宋体"/>
                <w:b/>
                <w:bCs w:val="0"/>
                <w:sz w:val="24"/>
                <w:szCs w:val="24"/>
                <w:lang w:val="en-US" w:eastAsia="zh-CN"/>
              </w:rPr>
              <w:t>。</w:t>
            </w:r>
            <w:r>
              <w:rPr>
                <w:rFonts w:hint="default" w:ascii="Times New Roman" w:hAnsi="宋体"/>
                <w:bCs/>
                <w:sz w:val="24"/>
                <w:szCs w:val="24"/>
                <w:lang w:val="en-US" w:eastAsia="zh-CN"/>
              </w:rPr>
              <w:t xml:space="preserve"> </w:t>
            </w:r>
          </w:p>
        </w:tc>
        <w:tc>
          <w:tcPr>
            <w:tcW w:w="1696" w:type="dxa"/>
            <w:tcBorders>
              <w:top w:val="double" w:color="4472C4" w:themeColor="accent5" w:sz="4" w:space="0"/>
              <w:tl2br w:val="nil"/>
              <w:tr2bl w:val="nil"/>
            </w:tcBorders>
            <w:shd w:val="clear" w:color="auto" w:fill="auto"/>
            <w:vAlign w:val="center"/>
          </w:tcPr>
          <w:p w14:paraId="66923A44">
            <w:pPr>
              <w:keepNext w:val="0"/>
              <w:keepLines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kern w:val="2"/>
                <w:sz w:val="24"/>
                <w:szCs w:val="24"/>
                <w:lang w:val="en-US" w:eastAsia="zh-CN" w:bidi="ar-SA"/>
              </w:rPr>
            </w:pPr>
            <w:r>
              <w:rPr>
                <w:rFonts w:hint="eastAsia" w:ascii="Times New Roman" w:hAnsi="Times New Roman"/>
                <w:b w:val="0"/>
                <w:bCs/>
                <w:sz w:val="24"/>
                <w:szCs w:val="24"/>
              </w:rPr>
              <w:t>通过课后练习，使学生巩固所学新知识</w:t>
            </w:r>
          </w:p>
        </w:tc>
      </w:tr>
      <w:tr w14:paraId="07096F75">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4D58D315">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F89A0A5">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7208" w:type="dxa"/>
            <w:tcBorders>
              <w:tl2br w:val="nil"/>
              <w:tr2bl w:val="nil"/>
            </w:tcBorders>
            <w:vAlign w:val="center"/>
          </w:tcPr>
          <w:p w14:paraId="4D87DFBB">
            <w:pPr>
              <w:keepNext w:val="0"/>
              <w:keepLines w:val="0"/>
              <w:widowControl/>
              <w:suppressLineNumbers w:val="0"/>
              <w:spacing w:before="0" w:beforeAutospacing="0" w:after="0" w:afterAutospacing="0"/>
              <w:ind w:left="0" w:right="0"/>
              <w:jc w:val="left"/>
              <w:rPr>
                <w:rFonts w:hint="default" w:ascii="Times New Roman" w:hAnsi="Times New Roman" w:cs="Times New Roman"/>
                <w:b/>
                <w:bCs w:val="0"/>
                <w:color w:val="C00000"/>
                <w:sz w:val="24"/>
                <w:szCs w:val="24"/>
                <w:lang w:val="en-US"/>
              </w:rPr>
            </w:pPr>
            <w:r>
              <w:rPr>
                <w:rFonts w:hint="eastAsia" w:ascii="Times New Roman" w:hAnsi="Times New Roman" w:eastAsia="宋体" w:cs="宋体"/>
                <w:b/>
                <w:bCs w:val="0"/>
                <w:color w:val="C00000"/>
                <w:kern w:val="2"/>
                <w:sz w:val="24"/>
                <w:szCs w:val="24"/>
                <w:lang w:val="en-US" w:eastAsia="zh-CN" w:bidi="ar"/>
              </w:rPr>
              <w:t>【教师】</w:t>
            </w:r>
            <w:r>
              <w:rPr>
                <w:rFonts w:hint="eastAsia" w:ascii="Times New Roman" w:hAnsi="Times New Roman" w:eastAsia="宋体" w:cs="宋体"/>
                <w:bCs/>
                <w:color w:val="C00000"/>
                <w:kern w:val="2"/>
                <w:sz w:val="24"/>
                <w:szCs w:val="24"/>
                <w:lang w:val="en-US" w:eastAsia="zh-CN" w:bidi="ar"/>
              </w:rPr>
              <w:t>展示</w:t>
            </w:r>
            <w:r>
              <w:rPr>
                <w:rFonts w:hint="eastAsia" w:ascii="Times New Roman" w:hAnsi="Times New Roman" w:cs="宋体"/>
                <w:bCs/>
                <w:color w:val="C00000"/>
                <w:kern w:val="2"/>
                <w:sz w:val="24"/>
                <w:szCs w:val="24"/>
                <w:lang w:val="en-US" w:eastAsia="zh-CN" w:bidi="ar"/>
              </w:rPr>
              <w:t>过敏性紫癜</w:t>
            </w:r>
          </w:p>
          <w:p w14:paraId="1DE33954">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bCs/>
                <w:sz w:val="24"/>
                <w:szCs w:val="24"/>
                <w:lang w:bidi="mn-Mong-CN"/>
              </w:rPr>
            </w:pPr>
            <w:r>
              <w:rPr>
                <w:rFonts w:hint="eastAsia" w:asciiTheme="minorEastAsia" w:hAnsiTheme="minorEastAsia" w:eastAsiaTheme="minorEastAsia" w:cstheme="minorEastAsia"/>
                <w:bCs/>
                <w:sz w:val="24"/>
                <w:szCs w:val="24"/>
                <w:lang w:bidi="mn-Mong-CN"/>
              </w:rPr>
              <w:t xml:space="preserve">案例导入  </w:t>
            </w:r>
          </w:p>
          <w:p w14:paraId="6007E034">
            <w:pPr>
              <w:pStyle w:val="10"/>
              <w:keepNext w:val="0"/>
              <w:keepLines w:val="0"/>
              <w:widowControl/>
              <w:suppressLineNumbers w:val="0"/>
              <w:kinsoku/>
              <w:wordWrap/>
              <w:overflowPunct/>
              <w:bidi w:val="0"/>
              <w:spacing w:before="0" w:beforeAutospacing="0" w:after="0" w:afterAutospacing="0" w:line="360" w:lineRule="auto"/>
              <w:ind w:left="0" w:firstLine="634"/>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24"/>
                <w:sz w:val="24"/>
                <w:szCs w:val="24"/>
              </w:rPr>
              <w:t>患者，女性，28岁。与同学去海鲜馆聚会，回家后突感乏力、胸闷、双下肢出现紫红色大小不等的皮疹，在家吃了一些抗过敏药物，胸闷、乏力得到缓解，但皮疹未改善，且出现大面积紫红色瘀斑来院就诊。查体：T37.0</w:t>
            </w:r>
            <w:r>
              <w:rPr>
                <w:rFonts w:hint="eastAsia" w:asciiTheme="minorEastAsia" w:hAnsiTheme="minorEastAsia" w:eastAsiaTheme="minorEastAsia" w:cstheme="minorEastAsia"/>
                <w:b/>
                <w:bCs/>
                <w:color w:val="000000"/>
                <w:kern w:val="24"/>
                <w:sz w:val="24"/>
                <w:szCs w:val="24"/>
              </w:rPr>
              <w:t>℃</w:t>
            </w:r>
            <w:r>
              <w:rPr>
                <w:rFonts w:hint="eastAsia" w:asciiTheme="minorEastAsia" w:hAnsiTheme="minorEastAsia" w:eastAsiaTheme="minorEastAsia" w:cstheme="minorEastAsia"/>
                <w:color w:val="000000"/>
                <w:kern w:val="24"/>
                <w:sz w:val="24"/>
                <w:szCs w:val="24"/>
              </w:rPr>
              <w:t>，P98次/分，R24次/分，BP120/75mmHg。双下肢不规则瘀斑，血常规：RBC4X10</w:t>
            </w:r>
            <w:r>
              <w:rPr>
                <w:rFonts w:hint="eastAsia" w:asciiTheme="minorEastAsia" w:hAnsiTheme="minorEastAsia" w:eastAsiaTheme="minorEastAsia" w:cstheme="minorEastAsia"/>
                <w:color w:val="000000"/>
                <w:kern w:val="24"/>
                <w:position w:val="0"/>
                <w:sz w:val="24"/>
                <w:szCs w:val="24"/>
                <w:vertAlign w:val="superscript"/>
              </w:rPr>
              <w:t>12</w:t>
            </w:r>
            <w:r>
              <w:rPr>
                <w:rFonts w:hint="eastAsia" w:asciiTheme="minorEastAsia" w:hAnsiTheme="minorEastAsia" w:eastAsiaTheme="minorEastAsia" w:cstheme="minorEastAsia"/>
                <w:color w:val="000000"/>
                <w:kern w:val="24"/>
                <w:sz w:val="24"/>
                <w:szCs w:val="24"/>
              </w:rPr>
              <w:t>/L，WBC6X10</w:t>
            </w:r>
            <w:r>
              <w:rPr>
                <w:rFonts w:hint="eastAsia" w:asciiTheme="minorEastAsia" w:hAnsiTheme="minorEastAsia" w:eastAsiaTheme="minorEastAsia" w:cstheme="minorEastAsia"/>
                <w:color w:val="000000"/>
                <w:kern w:val="24"/>
                <w:position w:val="0"/>
                <w:sz w:val="24"/>
                <w:szCs w:val="24"/>
                <w:vertAlign w:val="superscript"/>
              </w:rPr>
              <w:t>9</w:t>
            </w:r>
            <w:r>
              <w:rPr>
                <w:rFonts w:hint="eastAsia" w:asciiTheme="minorEastAsia" w:hAnsiTheme="minorEastAsia" w:eastAsiaTheme="minorEastAsia" w:cstheme="minorEastAsia"/>
                <w:color w:val="000000"/>
                <w:kern w:val="24"/>
                <w:sz w:val="24"/>
                <w:szCs w:val="24"/>
              </w:rPr>
              <w:t>/L，PLT105X10</w:t>
            </w:r>
            <w:r>
              <w:rPr>
                <w:rFonts w:hint="eastAsia" w:asciiTheme="minorEastAsia" w:hAnsiTheme="minorEastAsia" w:eastAsiaTheme="minorEastAsia" w:cstheme="minorEastAsia"/>
                <w:color w:val="000000"/>
                <w:kern w:val="24"/>
                <w:position w:val="0"/>
                <w:sz w:val="24"/>
                <w:szCs w:val="24"/>
                <w:vertAlign w:val="superscript"/>
              </w:rPr>
              <w:t>9</w:t>
            </w:r>
            <w:r>
              <w:rPr>
                <w:rFonts w:hint="eastAsia" w:asciiTheme="minorEastAsia" w:hAnsiTheme="minorEastAsia" w:eastAsiaTheme="minorEastAsia" w:cstheme="minorEastAsia"/>
                <w:color w:val="000000"/>
                <w:kern w:val="24"/>
                <w:sz w:val="24"/>
                <w:szCs w:val="24"/>
              </w:rPr>
              <w:t>/L，出血时间（BT）为5分钟。</w:t>
            </w:r>
          </w:p>
          <w:p w14:paraId="57AF6049">
            <w:pPr>
              <w:pStyle w:val="10"/>
              <w:keepNext w:val="0"/>
              <w:keepLines w:val="0"/>
              <w:widowControl/>
              <w:suppressLineNumbers w:val="0"/>
              <w:kinsoku/>
              <w:wordWrap/>
              <w:overflowPunct/>
              <w:bidi w:val="0"/>
              <w:spacing w:before="0" w:beforeAutospacing="0" w:after="0" w:afterAutospacing="0" w:line="360" w:lineRule="auto"/>
              <w:ind w:left="0" w:firstLine="634"/>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2E75B6"/>
                <w:kern w:val="24"/>
                <w:sz w:val="24"/>
                <w:szCs w:val="24"/>
              </w:rPr>
              <w:t>思考题</w:t>
            </w:r>
          </w:p>
          <w:p w14:paraId="7C36F7D5">
            <w:pPr>
              <w:pStyle w:val="10"/>
              <w:keepNext w:val="0"/>
              <w:keepLines w:val="0"/>
              <w:widowControl/>
              <w:suppressLineNumbers w:val="0"/>
              <w:kinsoku/>
              <w:wordWrap/>
              <w:overflowPunct/>
              <w:bidi w:val="0"/>
              <w:spacing w:before="0" w:beforeAutospacing="0" w:after="0" w:afterAutospacing="0"/>
              <w:ind w:left="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24"/>
                <w:sz w:val="24"/>
                <w:szCs w:val="24"/>
              </w:rPr>
              <w:t>1. 该患者考虑诊断何种疾病？</w:t>
            </w:r>
          </w:p>
          <w:p w14:paraId="76C1B02E">
            <w:pPr>
              <w:pStyle w:val="10"/>
              <w:keepNext w:val="0"/>
              <w:keepLines w:val="0"/>
              <w:widowControl/>
              <w:suppressLineNumbers w:val="0"/>
              <w:kinsoku/>
              <w:wordWrap/>
              <w:overflowPunct/>
              <w:bidi w:val="0"/>
              <w:spacing w:before="0" w:beforeAutospacing="0" w:after="0" w:afterAutospacing="0"/>
              <w:ind w:left="0"/>
              <w:jc w:val="both"/>
              <w:rPr>
                <w:rFonts w:hint="default"/>
                <w:sz w:val="24"/>
                <w:szCs w:val="24"/>
              </w:rPr>
            </w:pPr>
            <w:r>
              <w:rPr>
                <w:rFonts w:hint="eastAsia" w:asciiTheme="minorEastAsia" w:hAnsiTheme="minorEastAsia" w:eastAsiaTheme="minorEastAsia" w:cstheme="minorEastAsia"/>
                <w:color w:val="000000"/>
                <w:kern w:val="24"/>
                <w:sz w:val="24"/>
                <w:szCs w:val="24"/>
              </w:rPr>
              <w:t>2. 主要治疗措施包括哪些？</w:t>
            </w:r>
          </w:p>
          <w:p w14:paraId="2C530FF1">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过敏性紫癜（allergic purpura）又称出血性毛细血管中毒症，为一种常见的血管变态反应性疾病。本病多见于青少年，男性发病略多于女性，春、秋季发病较多。 </w:t>
            </w:r>
          </w:p>
          <w:p w14:paraId="7F68BEB6">
            <w:pPr>
              <w:keepNext w:val="0"/>
              <w:keepLines w:val="0"/>
              <w:widowControl/>
              <w:suppressLineNumbers w:val="0"/>
              <w:spacing w:before="0" w:beforeAutospacing="0" w:after="0" w:afterAutospacing="0"/>
              <w:ind w:left="0" w:right="0" w:firstLine="422" w:firstLineChars="200"/>
              <w:jc w:val="left"/>
              <w:rPr>
                <w:rFonts w:hint="default" w:ascii="Times New Roman" w:hAnsi="宋体"/>
                <w:b/>
                <w:bCs w:val="0"/>
                <w:szCs w:val="20"/>
                <w:lang w:val="en-US" w:eastAsia="zh-CN"/>
              </w:rPr>
            </w:pPr>
            <w:r>
              <w:rPr>
                <w:rFonts w:hint="default" w:ascii="Times New Roman" w:hAnsi="宋体"/>
                <w:b/>
                <w:bCs w:val="0"/>
                <w:szCs w:val="20"/>
                <w:lang w:val="en-US" w:eastAsia="zh-CN"/>
              </w:rPr>
              <w:t xml:space="preserve">一、病因及发病机制 </w:t>
            </w:r>
          </w:p>
          <w:p w14:paraId="79D5C1B3">
            <w:pPr>
              <w:keepNext w:val="0"/>
              <w:keepLines w:val="0"/>
              <w:widowControl/>
              <w:suppressLineNumbers w:val="0"/>
              <w:spacing w:before="0" w:beforeAutospacing="0" w:after="0" w:afterAutospacing="0"/>
              <w:ind w:left="0" w:right="0" w:firstLine="422" w:firstLineChars="200"/>
              <w:jc w:val="left"/>
              <w:rPr>
                <w:rFonts w:hint="default" w:ascii="Times New Roman" w:hAnsi="宋体"/>
                <w:b/>
                <w:bCs w:val="0"/>
                <w:szCs w:val="20"/>
                <w:lang w:val="en-US" w:eastAsia="zh-CN"/>
              </w:rPr>
            </w:pPr>
            <w:r>
              <w:rPr>
                <w:rFonts w:hint="default" w:ascii="Times New Roman" w:hAnsi="宋体"/>
                <w:b/>
                <w:bCs w:val="0"/>
                <w:szCs w:val="20"/>
                <w:lang w:val="en-US" w:eastAsia="zh-CN"/>
              </w:rPr>
              <w:t xml:space="preserve">1. 感染 </w:t>
            </w:r>
          </w:p>
          <w:p w14:paraId="79C4F2F6">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（1）细菌：主要为 β 溶血性链球菌，以呼吸道感染最为多见。 </w:t>
            </w:r>
          </w:p>
          <w:p w14:paraId="5A68BE17">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（2）病毒：多见于发疹性病毒感染，如麻疹、水痘、风疹等。 </w:t>
            </w:r>
          </w:p>
          <w:p w14:paraId="21B60C87">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（3）其他：寄生虫感染。 </w:t>
            </w:r>
          </w:p>
          <w:p w14:paraId="3B7650F5">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 xml:space="preserve">2. 食物 </w:t>
            </w:r>
            <w:r>
              <w:rPr>
                <w:rFonts w:hint="default" w:ascii="Times New Roman" w:hAnsi="宋体"/>
                <w:bCs/>
                <w:szCs w:val="20"/>
                <w:lang w:val="en-US" w:eastAsia="zh-CN"/>
              </w:rPr>
              <w:t xml:space="preserve">人体对异性蛋白过敏所致，如鱼、虾、蟹、蛋、鸡、牛奶等。 </w:t>
            </w:r>
          </w:p>
          <w:p w14:paraId="0D6580E0">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3. 药物</w:t>
            </w:r>
            <w:r>
              <w:rPr>
                <w:rFonts w:hint="default" w:ascii="Times New Roman" w:hAnsi="宋体"/>
                <w:bCs/>
                <w:szCs w:val="20"/>
                <w:lang w:val="en-US" w:eastAsia="zh-CN"/>
              </w:rPr>
              <w:t xml:space="preserve"> 与抗生素类（青霉素及头孢菌素类抗生素等）、解热镇痛类（水杨酸类、保泰松、吲哚美辛及奎宁类等）以及磺胺类、阿托品、异烟肼及噻嗪类利尿药等药物有关。 </w:t>
            </w:r>
          </w:p>
          <w:p w14:paraId="036C482B">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4. 其他</w:t>
            </w:r>
            <w:r>
              <w:rPr>
                <w:rFonts w:hint="default" w:ascii="Times New Roman" w:hAnsi="宋体"/>
                <w:bCs/>
                <w:szCs w:val="20"/>
                <w:lang w:val="en-US" w:eastAsia="zh-CN"/>
              </w:rPr>
              <w:t xml:space="preserve"> 花粉、尘埃、菌苗或疫苗接种、虫咬、受凉及寒冷刺激等。 </w:t>
            </w:r>
          </w:p>
          <w:p w14:paraId="26C981A3">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在上述因素的刺激下，机体对致敏物质产生变态反应，导致毛细血管脆性及通透性增加，血液外渗，产生皮肤、黏膜及某些器官出血。可同时伴发血管神经性水肿、荨麻疹等其他过敏表现。 </w:t>
            </w:r>
          </w:p>
          <w:p w14:paraId="1F5E221F">
            <w:pPr>
              <w:keepNext w:val="0"/>
              <w:keepLines w:val="0"/>
              <w:widowControl/>
              <w:suppressLineNumbers w:val="0"/>
              <w:spacing w:before="0" w:beforeAutospacing="0" w:after="0" w:afterAutospacing="0"/>
              <w:ind w:left="0" w:right="0" w:firstLine="422" w:firstLineChars="200"/>
              <w:jc w:val="left"/>
              <w:rPr>
                <w:rFonts w:hint="default" w:ascii="Times New Roman" w:hAnsi="宋体"/>
                <w:b/>
                <w:bCs w:val="0"/>
                <w:szCs w:val="20"/>
                <w:lang w:val="en-US" w:eastAsia="zh-CN"/>
              </w:rPr>
            </w:pPr>
            <w:r>
              <w:rPr>
                <w:rFonts w:hint="default" w:ascii="Times New Roman" w:hAnsi="宋体"/>
                <w:b/>
                <w:bCs w:val="0"/>
                <w:szCs w:val="20"/>
                <w:lang w:val="en-US" w:eastAsia="zh-CN"/>
              </w:rPr>
              <w:t xml:space="preserve">二、临床表现 </w:t>
            </w:r>
          </w:p>
          <w:p w14:paraId="2F25EA91">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发病前 1 </w:t>
            </w:r>
            <w:r>
              <w:rPr>
                <w:rFonts w:hint="eastAsia" w:ascii="Times New Roman" w:hAnsi="宋体"/>
                <w:bCs/>
                <w:szCs w:val="20"/>
                <w:lang w:val="en-US" w:eastAsia="zh-CN"/>
              </w:rPr>
              <w:t xml:space="preserve">～ </w:t>
            </w:r>
            <w:r>
              <w:rPr>
                <w:rFonts w:hint="default" w:ascii="Times New Roman" w:hAnsi="宋体"/>
                <w:bCs/>
                <w:szCs w:val="20"/>
                <w:lang w:val="en-US" w:eastAsia="zh-CN"/>
              </w:rPr>
              <w:t xml:space="preserve">3 周有全身不适、低热、乏力及上呼吸道感染等前驱症状，随之出现典型的临床表现。 </w:t>
            </w:r>
          </w:p>
          <w:p w14:paraId="1EE72BD8">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1. 单纯型（紫癜型）</w:t>
            </w:r>
            <w:r>
              <w:rPr>
                <w:rFonts w:hint="default" w:ascii="Times New Roman" w:hAnsi="宋体"/>
                <w:bCs/>
                <w:szCs w:val="20"/>
                <w:lang w:val="en-US" w:eastAsia="zh-CN"/>
              </w:rPr>
              <w:t xml:space="preserve"> 为最常见的类型。以皮肤紫癜为首 </w:t>
            </w:r>
          </w:p>
          <w:p w14:paraId="765B2211">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发症状，以下肢及臀部多见躯干极少累及。紫癜常成批反复发生、对称性分布，可同时伴发皮肤水肿、荨麻疹。紫癜大小不等，呈紫红色，按之不褪色，可融合成片，形成瘀斑，经 7 ～ 14日逐渐消退。 </w:t>
            </w:r>
          </w:p>
          <w:p w14:paraId="1D7836E2">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2. 腹型</w:t>
            </w:r>
            <w:r>
              <w:rPr>
                <w:rFonts w:hint="default" w:ascii="Times New Roman" w:hAnsi="宋体"/>
                <w:bCs/>
                <w:szCs w:val="20"/>
                <w:lang w:val="en-US" w:eastAsia="zh-CN"/>
              </w:rPr>
              <w:t xml:space="preserve"> 约半数患者有腹痛，常发生在出疹的 1 ～ 7天，为阵发性绞痛，多位于脐周、下腹或全腹，发作时可有压痛但无腹肌紧张，严重者可合并呕吐及消化道出血。少数婴幼儿可因肠壁水肿、蠕动增强等而致肠套叠。少数患者可误诊为急腹症。 </w:t>
            </w:r>
          </w:p>
          <w:p w14:paraId="422118F0">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3. 关节型</w:t>
            </w:r>
            <w:r>
              <w:rPr>
                <w:rFonts w:hint="default" w:ascii="Times New Roman" w:hAnsi="宋体"/>
                <w:bCs/>
                <w:szCs w:val="20"/>
                <w:lang w:val="en-US" w:eastAsia="zh-CN"/>
              </w:rPr>
              <w:t xml:space="preserve"> 多发生于膝、踝、肘、腕等大关节，呈游走性，可有关节肿胀、疼痛、压痛及功能障碍等表现，反复发作，经数日而愈，不遗留关节畸形。 </w:t>
            </w:r>
          </w:p>
          <w:p w14:paraId="32109B42">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4. 肾型</w:t>
            </w:r>
            <w:r>
              <w:rPr>
                <w:rFonts w:hint="default" w:ascii="Times New Roman" w:hAnsi="宋体"/>
                <w:bCs/>
                <w:szCs w:val="20"/>
                <w:lang w:val="en-US" w:eastAsia="zh-CN"/>
              </w:rPr>
              <w:t xml:space="preserve"> 过敏性紫癜肾炎的病情最为严重，见于 1/3 ～ 1/2 患者，一般于紫癜出现后 1 ～ 8 周内发生，主要表现为血尿、蛋白尿、水肿、高血压及肾衰竭等。少数病例因反复发作而演变为慢性肾炎或肾病综合征。 </w:t>
            </w:r>
          </w:p>
          <w:p w14:paraId="04A40876">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5. 混合型</w:t>
            </w:r>
            <w:r>
              <w:rPr>
                <w:rFonts w:hint="default" w:ascii="Times New Roman" w:hAnsi="宋体"/>
                <w:bCs/>
                <w:szCs w:val="20"/>
                <w:lang w:val="en-US" w:eastAsia="zh-CN"/>
              </w:rPr>
              <w:t xml:space="preserve"> 皮肤紫癜合并上述两种以上临床表现。 </w:t>
            </w:r>
          </w:p>
          <w:p w14:paraId="38B2602C">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6. 其他</w:t>
            </w:r>
            <w:r>
              <w:rPr>
                <w:rFonts w:hint="default" w:ascii="Times New Roman" w:hAnsi="宋体"/>
                <w:bCs/>
                <w:szCs w:val="20"/>
                <w:lang w:val="en-US" w:eastAsia="zh-CN"/>
              </w:rPr>
              <w:t xml:space="preserve"> 少数本病患者还可因病变累及眼部、脑及脑膜血管而出现视神经萎缩、虹膜炎、视网膜出血及水肿，及中枢神经系统相关症状、体征。</w:t>
            </w:r>
          </w:p>
          <w:p w14:paraId="50BEE774">
            <w:pPr>
              <w:keepNext w:val="0"/>
              <w:keepLines w:val="0"/>
              <w:widowControl/>
              <w:suppressLineNumbers w:val="0"/>
              <w:spacing w:before="0" w:beforeAutospacing="0" w:after="0" w:afterAutospacing="0"/>
              <w:ind w:left="0" w:right="0" w:firstLine="422" w:firstLineChars="200"/>
              <w:jc w:val="left"/>
              <w:rPr>
                <w:rFonts w:hint="default" w:ascii="Times New Roman" w:hAnsi="Times New Roman"/>
                <w:b/>
                <w:sz w:val="24"/>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r>
              <w:rPr>
                <w:rFonts w:hint="eastAsia" w:ascii="Times New Roman" w:hAnsi="宋体" w:eastAsia="宋体" w:cs="宋体"/>
                <w:bCs/>
                <w:kern w:val="2"/>
                <w:sz w:val="24"/>
                <w:szCs w:val="24"/>
                <w:lang w:val="en-US" w:eastAsia="zh-CN" w:bidi="ar"/>
              </w:rPr>
              <w:t>炎。</w:t>
            </w:r>
            <w:r>
              <w:rPr>
                <w:rFonts w:hint="default" w:ascii="Times New Roman" w:hAnsi="宋体" w:eastAsia="宋体" w:cs="Times New Roman"/>
                <w:bCs/>
                <w:kern w:val="2"/>
                <w:sz w:val="24"/>
                <w:szCs w:val="24"/>
                <w:lang w:val="en-US" w:eastAsia="zh-CN" w:bidi="ar"/>
              </w:rPr>
              <w:t xml:space="preserve"> </w:t>
            </w:r>
          </w:p>
        </w:tc>
        <w:tc>
          <w:tcPr>
            <w:tcW w:w="1696" w:type="dxa"/>
            <w:tcBorders>
              <w:tl2br w:val="nil"/>
              <w:tr2bl w:val="nil"/>
            </w:tcBorders>
            <w:vAlign w:val="center"/>
          </w:tcPr>
          <w:p w14:paraId="2B478046">
            <w:pPr>
              <w:keepNext w:val="0"/>
              <w:keepLines w:val="0"/>
              <w:suppressLineNumbers w:val="0"/>
              <w:spacing w:before="0" w:beforeAutospacing="0" w:after="0" w:afterAutospacing="0" w:line="360" w:lineRule="auto"/>
              <w:ind w:left="0" w:right="0"/>
              <w:jc w:val="left"/>
              <w:rPr>
                <w:rFonts w:hint="eastAsia" w:ascii="Times New Roman" w:hAnsi="Times New Roman"/>
                <w:b w:val="0"/>
                <w:bCs/>
                <w:sz w:val="24"/>
                <w:szCs w:val="24"/>
              </w:rPr>
            </w:pPr>
            <w:r>
              <w:rPr>
                <w:rFonts w:hint="eastAsia" w:ascii="Times New Roman" w:hAnsi="Times New Roman"/>
                <w:b w:val="0"/>
                <w:bCs/>
                <w:sz w:val="24"/>
                <w:szCs w:val="24"/>
                <w:lang w:val="en-US" w:eastAsia="zh-CN"/>
              </w:rPr>
              <w:t>展示过敏性紫癜</w:t>
            </w:r>
            <w:r>
              <w:rPr>
                <w:rFonts w:hint="eastAsia" w:ascii="Times New Roman" w:hAnsi="Times New Roman"/>
                <w:b w:val="0"/>
                <w:bCs/>
                <w:sz w:val="24"/>
                <w:szCs w:val="24"/>
              </w:rPr>
              <w:t>，</w:t>
            </w:r>
            <w:r>
              <w:rPr>
                <w:rFonts w:hint="eastAsia" w:ascii="Times New Roman" w:hAnsi="Times New Roman"/>
                <w:b w:val="0"/>
                <w:bCs/>
                <w:sz w:val="24"/>
                <w:szCs w:val="24"/>
                <w:lang w:eastAsia="zh-CN"/>
              </w:rPr>
              <w:t>让学生更加仔细的阅读，从而</w:t>
            </w:r>
            <w:r>
              <w:rPr>
                <w:rFonts w:hint="eastAsia" w:ascii="Times New Roman" w:hAnsi="Times New Roman"/>
                <w:b w:val="0"/>
                <w:bCs/>
                <w:sz w:val="24"/>
                <w:szCs w:val="24"/>
              </w:rPr>
              <w:t>激发学生的学习欲望。</w:t>
            </w:r>
          </w:p>
          <w:p w14:paraId="43FC33D6">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p>
          <w:p w14:paraId="076330BF">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p>
          <w:p w14:paraId="2A3EBAEE">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p>
          <w:p w14:paraId="0D1ECB41">
            <w:pPr>
              <w:keepNext w:val="0"/>
              <w:keepLines w:val="0"/>
              <w:suppressLineNumbers w:val="0"/>
              <w:spacing w:before="0" w:beforeAutospacing="0" w:after="0" w:afterAutospacing="0" w:line="360" w:lineRule="exact"/>
              <w:ind w:left="0" w:right="0"/>
              <w:rPr>
                <w:rFonts w:hint="eastAsia" w:ascii="Times New Roman" w:hAnsi="Times New Roman" w:eastAsia="宋体"/>
                <w:b/>
                <w:sz w:val="24"/>
                <w:szCs w:val="24"/>
                <w:lang w:eastAsia="zh-CN"/>
              </w:rPr>
            </w:pPr>
            <w:r>
              <w:rPr>
                <w:rFonts w:hint="eastAsia" w:ascii="宋体" w:hAnsi="宋体" w:eastAsia="宋体" w:cs="宋体"/>
                <w:b/>
                <w:color w:val="000000"/>
                <w:spacing w:val="23"/>
                <w:sz w:val="24"/>
                <w:szCs w:val="24"/>
                <w:shd w:val="clear" w:color="auto" w:fill="FFFFFF"/>
                <w:lang w:bidi="mn-Mong-CN"/>
              </w:rPr>
              <w:t>思政元素：</w:t>
            </w:r>
            <w:r>
              <w:rPr>
                <w:rFonts w:hint="eastAsia" w:ascii="宋体" w:hAnsi="宋体" w:eastAsia="宋体" w:cs="宋体"/>
                <w:bCs/>
                <w:color w:val="000000"/>
                <w:spacing w:val="23"/>
                <w:sz w:val="24"/>
                <w:szCs w:val="24"/>
                <w:shd w:val="clear" w:color="auto" w:fill="FFFFFF"/>
                <w:lang w:bidi="mn-Mong-CN"/>
              </w:rPr>
              <w:t>关爱患者、细心、爱心、耐心、责任心</w:t>
            </w:r>
            <w:r>
              <w:rPr>
                <w:rFonts w:hint="eastAsia" w:ascii="宋体" w:hAnsi="宋体" w:eastAsia="宋体" w:cs="宋体"/>
                <w:bCs/>
                <w:color w:val="000000"/>
                <w:spacing w:val="23"/>
                <w:sz w:val="24"/>
                <w:szCs w:val="24"/>
                <w:shd w:val="clear" w:color="auto" w:fill="FFFFFF"/>
                <w:lang w:eastAsia="zh-CN" w:bidi="mn-Mong-CN"/>
              </w:rPr>
              <w:t>，</w:t>
            </w:r>
            <w:r>
              <w:rPr>
                <w:rFonts w:hint="eastAsia"/>
                <w:color w:val="000000"/>
                <w:sz w:val="24"/>
                <w:szCs w:val="24"/>
                <w:lang w:bidi="mn-Mong-CN"/>
              </w:rPr>
              <w:t>关心理解患者</w:t>
            </w:r>
            <w:r>
              <w:rPr>
                <w:rFonts w:hint="eastAsia"/>
                <w:color w:val="000000"/>
                <w:sz w:val="24"/>
                <w:szCs w:val="24"/>
                <w:lang w:eastAsia="zh-CN" w:bidi="mn-Mong-CN"/>
              </w:rPr>
              <w:t>。</w:t>
            </w:r>
          </w:p>
          <w:p w14:paraId="4C4993E4">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p>
        </w:tc>
      </w:tr>
      <w:tr w14:paraId="392EECB6">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6F8BB64B">
            <w:pPr>
              <w:keepNext w:val="0"/>
              <w:keepLines w:val="0"/>
              <w:suppressLineNumbers w:val="0"/>
              <w:spacing w:before="0" w:beforeAutospacing="0" w:after="0" w:afterAutospacing="0" w:line="360" w:lineRule="auto"/>
              <w:ind w:left="0" w:right="0" w:hanging="8"/>
              <w:jc w:val="center"/>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7208" w:type="dxa"/>
            <w:tcBorders>
              <w:tl2br w:val="nil"/>
              <w:tr2bl w:val="nil"/>
            </w:tcBorders>
            <w:vAlign w:val="center"/>
          </w:tcPr>
          <w:p w14:paraId="1F1AEF04">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14:paraId="47E27EDF">
            <w:pPr>
              <w:keepNext w:val="0"/>
              <w:keepLines w:val="0"/>
              <w:suppressLineNumbers w:val="0"/>
              <w:spacing w:before="0" w:beforeAutospacing="0" w:after="0" w:afterAutospacing="0" w:line="360" w:lineRule="auto"/>
              <w:ind w:left="0" w:right="0" w:firstLine="480" w:firstLineChars="200"/>
              <w:rPr>
                <w:rFonts w:hint="default" w:hAnsi="宋体" w:eastAsia="宋体"/>
                <w:bCs/>
                <w:sz w:val="24"/>
                <w:szCs w:val="24"/>
                <w:lang w:val="en-US" w:eastAsia="zh-CN"/>
              </w:rPr>
            </w:pPr>
            <w:r>
              <w:rPr>
                <w:rFonts w:hint="eastAsia" w:hAnsi="宋体"/>
                <w:bCs/>
                <w:sz w:val="24"/>
                <w:szCs w:val="24"/>
                <w:lang w:val="en-US" w:eastAsia="zh-CN"/>
              </w:rPr>
              <w:t>简述过敏性紫癜临床分型包括哪些？</w:t>
            </w:r>
          </w:p>
        </w:tc>
        <w:tc>
          <w:tcPr>
            <w:tcW w:w="1696" w:type="dxa"/>
            <w:tcBorders>
              <w:tl2br w:val="nil"/>
              <w:tr2bl w:val="nil"/>
            </w:tcBorders>
            <w:vAlign w:val="center"/>
          </w:tcPr>
          <w:p w14:paraId="74A43886">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14:paraId="28AD4BE0">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6661651D">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9977915">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7208" w:type="dxa"/>
            <w:tcBorders>
              <w:tl2br w:val="nil"/>
              <w:tr2bl w:val="nil"/>
            </w:tcBorders>
            <w:vAlign w:val="center"/>
          </w:tcPr>
          <w:p w14:paraId="3998C3EA">
            <w:pPr>
              <w:keepNext w:val="0"/>
              <w:keepLines w:val="0"/>
              <w:widowControl/>
              <w:suppressLineNumbers w:val="0"/>
              <w:spacing w:before="0" w:beforeAutospacing="0" w:after="0" w:afterAutospacing="0"/>
              <w:ind w:left="0" w:right="0"/>
              <w:jc w:val="left"/>
              <w:rPr>
                <w:rFonts w:hint="default" w:ascii="Times New Roman" w:hAnsi="Times New Roman" w:cs="Times New Roman"/>
                <w:b/>
                <w:bCs w:val="0"/>
                <w:color w:val="C00000"/>
                <w:sz w:val="24"/>
                <w:szCs w:val="24"/>
                <w:lang w:val="en-US"/>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Cs/>
                <w:color w:val="C00000"/>
                <w:kern w:val="2"/>
                <w:sz w:val="24"/>
                <w:szCs w:val="24"/>
                <w:lang w:val="en-US" w:eastAsia="zh-CN" w:bidi="ar"/>
              </w:rPr>
              <w:t>展示</w:t>
            </w:r>
            <w:r>
              <w:rPr>
                <w:rFonts w:hint="eastAsia" w:ascii="宋体" w:hAnsi="宋体" w:cs="宋体"/>
                <w:bCs/>
                <w:color w:val="C00000"/>
                <w:kern w:val="2"/>
                <w:sz w:val="24"/>
                <w:szCs w:val="24"/>
                <w:lang w:val="en-US" w:eastAsia="zh-CN" w:bidi="ar"/>
              </w:rPr>
              <w:t>过敏性紫癜</w:t>
            </w:r>
          </w:p>
          <w:p w14:paraId="29B2B8F3">
            <w:pPr>
              <w:keepNext w:val="0"/>
              <w:keepLines w:val="0"/>
              <w:widowControl/>
              <w:suppressLineNumbers w:val="0"/>
              <w:spacing w:before="0" w:beforeAutospacing="0" w:after="0" w:afterAutospacing="0"/>
              <w:ind w:left="0" w:right="0" w:firstLine="422" w:firstLineChars="200"/>
              <w:jc w:val="left"/>
              <w:rPr>
                <w:rFonts w:hint="default" w:ascii="Times New Roman" w:hAnsi="宋体"/>
                <w:b/>
                <w:bCs w:val="0"/>
                <w:szCs w:val="20"/>
                <w:lang w:val="en-US" w:eastAsia="zh-CN"/>
              </w:rPr>
            </w:pPr>
            <w:r>
              <w:rPr>
                <w:rFonts w:hint="default" w:ascii="Times New Roman" w:hAnsi="宋体"/>
                <w:b/>
                <w:bCs w:val="0"/>
                <w:szCs w:val="20"/>
                <w:lang w:val="en-US" w:eastAsia="zh-CN"/>
              </w:rPr>
              <w:t xml:space="preserve">三、辅助检查 </w:t>
            </w:r>
          </w:p>
          <w:p w14:paraId="1E57F8DE">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1. 毛细血管脆性试验</w:t>
            </w:r>
            <w:r>
              <w:rPr>
                <w:rFonts w:hint="default" w:ascii="Times New Roman" w:hAnsi="宋体"/>
                <w:bCs/>
                <w:szCs w:val="20"/>
                <w:lang w:val="en-US" w:eastAsia="zh-CN"/>
              </w:rPr>
              <w:t xml:space="preserve"> 半数以上阳性，毛细血管镜可见毛细血管扩张、扭曲及渗出性炎症反应。 </w:t>
            </w:r>
          </w:p>
          <w:p w14:paraId="2FDD668B">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2. 尿常规检查</w:t>
            </w:r>
            <w:r>
              <w:rPr>
                <w:rFonts w:hint="default" w:ascii="Times New Roman" w:hAnsi="宋体"/>
                <w:bCs/>
                <w:szCs w:val="20"/>
                <w:lang w:val="en-US" w:eastAsia="zh-CN"/>
              </w:rPr>
              <w:t xml:space="preserve"> 肾型或混合型者，可有血尿、蛋白尿、管型尿。 </w:t>
            </w:r>
          </w:p>
          <w:p w14:paraId="10D74A6C">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3. 血象</w:t>
            </w:r>
            <w:r>
              <w:rPr>
                <w:rFonts w:hint="default" w:ascii="Times New Roman" w:hAnsi="宋体"/>
                <w:bCs/>
                <w:szCs w:val="20"/>
                <w:lang w:val="en-US" w:eastAsia="zh-CN"/>
              </w:rPr>
              <w:t xml:space="preserve"> 出血时间延长外血小板计数及各项凝血试验均正常。 </w:t>
            </w:r>
          </w:p>
          <w:p w14:paraId="1C40B424">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4. 肾功能</w:t>
            </w:r>
            <w:r>
              <w:rPr>
                <w:rFonts w:hint="default" w:ascii="Times New Roman" w:hAnsi="宋体"/>
                <w:bCs/>
                <w:szCs w:val="20"/>
                <w:lang w:val="en-US" w:eastAsia="zh-CN"/>
              </w:rPr>
              <w:t xml:space="preserve"> 肾型及合并肾型表现的混合型者，可有程度不等的肾功能受损，如血尿素氮升高、内生肌酐清除率下降等。 </w:t>
            </w:r>
          </w:p>
          <w:p w14:paraId="01BDE0CE">
            <w:pPr>
              <w:keepNext w:val="0"/>
              <w:keepLines w:val="0"/>
              <w:widowControl/>
              <w:suppressLineNumbers w:val="0"/>
              <w:spacing w:before="0" w:beforeAutospacing="0" w:after="0" w:afterAutospacing="0"/>
              <w:ind w:left="0" w:right="0" w:firstLine="422" w:firstLineChars="200"/>
              <w:jc w:val="left"/>
              <w:rPr>
                <w:rFonts w:hint="default" w:ascii="Times New Roman" w:hAnsi="宋体"/>
                <w:b/>
                <w:bCs w:val="0"/>
                <w:szCs w:val="20"/>
                <w:lang w:val="en-US" w:eastAsia="zh-CN"/>
              </w:rPr>
            </w:pPr>
            <w:r>
              <w:rPr>
                <w:rFonts w:hint="default" w:ascii="Times New Roman" w:hAnsi="宋体"/>
                <w:b/>
                <w:bCs w:val="0"/>
                <w:szCs w:val="20"/>
                <w:lang w:val="en-US" w:eastAsia="zh-CN"/>
              </w:rPr>
              <w:t xml:space="preserve">四、诊断 </w:t>
            </w:r>
          </w:p>
          <w:p w14:paraId="19BF3D86">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（1）发病前 1 </w:t>
            </w:r>
            <w:r>
              <w:rPr>
                <w:rFonts w:hint="eastAsia" w:ascii="Times New Roman" w:hAnsi="宋体"/>
                <w:bCs/>
                <w:szCs w:val="20"/>
                <w:lang w:val="en-US" w:eastAsia="zh-CN"/>
              </w:rPr>
              <w:t xml:space="preserve">～ </w:t>
            </w:r>
            <w:r>
              <w:rPr>
                <w:rFonts w:hint="default" w:ascii="Times New Roman" w:hAnsi="宋体"/>
                <w:bCs/>
                <w:szCs w:val="20"/>
                <w:lang w:val="en-US" w:eastAsia="zh-CN"/>
              </w:rPr>
              <w:t xml:space="preserve">3 周有低热、咽痛、全身乏力或上呼吸道感染史。 </w:t>
            </w:r>
          </w:p>
          <w:p w14:paraId="57FFACCF">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（2）典型四肢皮肤紫癜，可伴腹痛、关节肿痛及血尿。 </w:t>
            </w:r>
          </w:p>
          <w:p w14:paraId="6A1B3146">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（3）血小板计数、功能及凝血相关检查正常。 </w:t>
            </w:r>
          </w:p>
          <w:p w14:paraId="4E5C067F">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（4）排除其他原因所致的血管炎及紫癜。 </w:t>
            </w:r>
          </w:p>
          <w:p w14:paraId="4BAAF0F3">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五、治疗</w:t>
            </w:r>
            <w:r>
              <w:rPr>
                <w:rFonts w:hint="default" w:ascii="Times New Roman" w:hAnsi="宋体"/>
                <w:bCs/>
                <w:szCs w:val="20"/>
                <w:lang w:val="en-US" w:eastAsia="zh-CN"/>
              </w:rPr>
              <w:t xml:space="preserve"> </w:t>
            </w:r>
          </w:p>
          <w:p w14:paraId="755B68EB">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1. 消除致病因素</w:t>
            </w:r>
            <w:r>
              <w:rPr>
                <w:rFonts w:hint="default" w:ascii="Times New Roman" w:hAnsi="宋体"/>
                <w:bCs/>
                <w:szCs w:val="20"/>
                <w:lang w:val="en-US" w:eastAsia="zh-CN"/>
              </w:rPr>
              <w:t xml:space="preserve"> 防治感染，清除局部病灶（如扁桃体炎等），驱除肠道寄生虫，避免可能致敏的食物及药物等。 </w:t>
            </w:r>
          </w:p>
          <w:p w14:paraId="77C73C6B">
            <w:pPr>
              <w:keepNext w:val="0"/>
              <w:keepLines w:val="0"/>
              <w:widowControl/>
              <w:suppressLineNumbers w:val="0"/>
              <w:spacing w:before="0" w:beforeAutospacing="0" w:after="0" w:afterAutospacing="0"/>
              <w:ind w:left="0" w:right="0" w:firstLine="422" w:firstLineChars="200"/>
              <w:jc w:val="left"/>
              <w:rPr>
                <w:rFonts w:hint="default" w:ascii="Times New Roman" w:hAnsi="宋体"/>
                <w:b/>
                <w:bCs w:val="0"/>
                <w:szCs w:val="20"/>
                <w:lang w:val="en-US" w:eastAsia="zh-CN"/>
              </w:rPr>
            </w:pPr>
            <w:r>
              <w:rPr>
                <w:rFonts w:hint="default" w:ascii="Times New Roman" w:hAnsi="宋体"/>
                <w:b/>
                <w:bCs w:val="0"/>
                <w:szCs w:val="20"/>
                <w:lang w:val="en-US" w:eastAsia="zh-CN"/>
              </w:rPr>
              <w:t xml:space="preserve">2. 一般治疗 </w:t>
            </w:r>
          </w:p>
          <w:p w14:paraId="290B8DA3">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（1）抗组胺药：盐酸异丙嗪、氯苯那敏（扑尔敏）、阿司咪唑（息斯敏）、去氯羟嗪（克敏嗪）、西米地丁及静脉注射钙剂等。 </w:t>
            </w:r>
          </w:p>
          <w:p w14:paraId="04BA1E1C">
            <w:pPr>
              <w:keepNext w:val="0"/>
              <w:keepLines w:val="0"/>
              <w:widowControl/>
              <w:suppressLineNumbers w:val="0"/>
              <w:spacing w:before="0" w:beforeAutospacing="0" w:after="0" w:afterAutospacing="0"/>
              <w:ind w:left="0" w:right="0" w:firstLine="420" w:firstLineChars="200"/>
              <w:jc w:val="left"/>
              <w:rPr>
                <w:rFonts w:hint="default" w:ascii="Times New Roman" w:hAnsi="宋体"/>
                <w:bCs/>
                <w:szCs w:val="20"/>
                <w:lang w:val="en-US" w:eastAsia="zh-CN"/>
              </w:rPr>
            </w:pPr>
            <w:r>
              <w:rPr>
                <w:rFonts w:hint="default" w:ascii="Times New Roman" w:hAnsi="宋体"/>
                <w:bCs/>
                <w:szCs w:val="20"/>
                <w:lang w:val="en-US" w:eastAsia="zh-CN"/>
              </w:rPr>
              <w:t xml:space="preserve">（2）其他：维生素 C、曲克芦丁、卡巴克络等。维生素 C 以大剂量（5 </w:t>
            </w:r>
            <w:r>
              <w:rPr>
                <w:rFonts w:hint="eastAsia" w:ascii="Times New Roman" w:hAnsi="宋体"/>
                <w:bCs/>
                <w:szCs w:val="20"/>
                <w:lang w:val="en-US" w:eastAsia="zh-CN"/>
              </w:rPr>
              <w:t xml:space="preserve">～ </w:t>
            </w:r>
            <w:r>
              <w:rPr>
                <w:rFonts w:hint="default" w:ascii="Times New Roman" w:hAnsi="宋体"/>
                <w:bCs/>
                <w:szCs w:val="20"/>
                <w:lang w:val="en-US" w:eastAsia="zh-CN"/>
              </w:rPr>
              <w:t xml:space="preserve">10g/d）静脉注射疗效较好，持续用药 5 </w:t>
            </w:r>
            <w:r>
              <w:rPr>
                <w:rFonts w:hint="eastAsia" w:ascii="Times New Roman" w:hAnsi="宋体"/>
                <w:bCs/>
                <w:szCs w:val="20"/>
                <w:lang w:val="en-US" w:eastAsia="zh-CN"/>
              </w:rPr>
              <w:t xml:space="preserve">～ </w:t>
            </w:r>
            <w:r>
              <w:rPr>
                <w:rFonts w:hint="default" w:ascii="Times New Roman" w:hAnsi="宋体"/>
                <w:bCs/>
                <w:szCs w:val="20"/>
                <w:lang w:val="en-US" w:eastAsia="zh-CN"/>
              </w:rPr>
              <w:t xml:space="preserve">7 天。 </w:t>
            </w:r>
          </w:p>
          <w:p w14:paraId="5AE052F6">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3. 糖皮质激素</w:t>
            </w:r>
            <w:r>
              <w:rPr>
                <w:rFonts w:hint="default" w:ascii="Times New Roman" w:hAnsi="宋体"/>
                <w:bCs/>
                <w:szCs w:val="20"/>
                <w:lang w:val="en-US" w:eastAsia="zh-CN"/>
              </w:rPr>
              <w:t xml:space="preserve"> 糖皮质激素有抑制抗原抗体反应、减轻炎症渗出、改善血管通透性等作用。一般用泼尼松 30mg/d，顿服或分次口服。重症者可用氢化可的松 100 ～ 200mg/d，或地塞米松5～15mg/d，静脉滴注，症状减轻后改口服。糖皮质激素疗程一般不超过30天，肾型者可酌情延长。 </w:t>
            </w:r>
          </w:p>
          <w:p w14:paraId="6319F469">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4. 对症治疗</w:t>
            </w:r>
            <w:r>
              <w:rPr>
                <w:rFonts w:hint="default" w:ascii="Times New Roman" w:hAnsi="宋体"/>
                <w:bCs/>
                <w:szCs w:val="20"/>
                <w:lang w:val="en-US" w:eastAsia="zh-CN"/>
              </w:rPr>
              <w:t xml:space="preserve"> 腹痛较重者可予阿托品或山莨菪碱（654-2）口服或皮下注射；关节痛可酌情用止痛药；呕吐严重者可用止吐药；伴发呕血、血便者，可用奥美拉唑等治疗。 </w:t>
            </w:r>
          </w:p>
          <w:p w14:paraId="7E245E4E">
            <w:pPr>
              <w:keepNext w:val="0"/>
              <w:keepLines w:val="0"/>
              <w:widowControl/>
              <w:suppressLineNumbers w:val="0"/>
              <w:spacing w:before="0" w:beforeAutospacing="0" w:after="0" w:afterAutospacing="0"/>
              <w:ind w:left="0" w:right="0" w:firstLine="422" w:firstLineChars="200"/>
              <w:jc w:val="left"/>
              <w:rPr>
                <w:rFonts w:hint="default" w:ascii="Times New Roman" w:hAnsi="宋体"/>
                <w:bCs/>
                <w:szCs w:val="20"/>
                <w:lang w:val="en-US" w:eastAsia="zh-CN"/>
              </w:rPr>
            </w:pPr>
            <w:r>
              <w:rPr>
                <w:rFonts w:hint="default" w:ascii="Times New Roman" w:hAnsi="宋体"/>
                <w:b/>
                <w:bCs w:val="0"/>
                <w:szCs w:val="20"/>
                <w:lang w:val="en-US" w:eastAsia="zh-CN"/>
              </w:rPr>
              <w:t>5. 其他</w:t>
            </w:r>
            <w:r>
              <w:rPr>
                <w:rFonts w:hint="default" w:ascii="Times New Roman" w:hAnsi="宋体"/>
                <w:bCs/>
                <w:szCs w:val="20"/>
                <w:lang w:val="en-US" w:eastAsia="zh-CN"/>
              </w:rPr>
              <w:t xml:space="preserve"> 如上述治疗效果不佳或近期内反复发作者，可酌情使用：①免疫抑制剂：如硫唑嘌呤、环孢素、环磷酰胺等。②抗凝疗法：适用于肾型患者，初以肝素钠100 ～ 200U/（kg·d）静脉滴注或低分子肝素皮下注射，4 周后改用华法林 4 ～ 15mg/d，2 周后改用维持量 2 ～ 5mg/d，持续 2 ～ 3 个月。③中医中药：以凉血、解毒、活血化瘀为主，适用于慢性反复发作或肾型患者。</w:t>
            </w:r>
          </w:p>
          <w:p w14:paraId="7B649C9C">
            <w:pPr>
              <w:keepNext w:val="0"/>
              <w:keepLines w:val="0"/>
              <w:widowControl/>
              <w:suppressLineNumbers w:val="0"/>
              <w:spacing w:before="0" w:beforeAutospacing="0" w:after="0" w:afterAutospacing="0"/>
              <w:ind w:left="0" w:right="0" w:firstLine="420" w:firstLineChars="200"/>
              <w:jc w:val="left"/>
              <w:rPr>
                <w:rFonts w:hint="default" w:ascii="方正书宋简体" w:hAnsi="方正书宋简体" w:eastAsia="方正书宋简体" w:cs="方正书宋简体"/>
                <w:color w:val="231F20"/>
                <w:kern w:val="0"/>
                <w:sz w:val="21"/>
                <w:szCs w:val="21"/>
                <w:lang w:val="en-US" w:eastAsia="zh-CN" w:bidi="ar"/>
              </w:rPr>
            </w:pPr>
            <w:r>
              <w:rPr>
                <w:rFonts w:hint="default" w:ascii="Times New Roman" w:hAnsi="宋体"/>
                <w:bCs/>
                <w:szCs w:val="20"/>
                <w:lang w:val="en-US" w:eastAsia="zh-CN"/>
              </w:rPr>
              <w:t xml:space="preserve">本病病程一般在 2 周左右。多数预后良好，少数肾型患者可转化为慢性肾炎或肾病综合征。 </w:t>
            </w:r>
          </w:p>
          <w:p w14:paraId="320A1E3C">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696" w:type="dxa"/>
            <w:tcBorders>
              <w:tl2br w:val="nil"/>
              <w:tr2bl w:val="nil"/>
            </w:tcBorders>
            <w:vAlign w:val="center"/>
          </w:tcPr>
          <w:p w14:paraId="7864B123">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w:t>
            </w:r>
            <w:r>
              <w:rPr>
                <w:rFonts w:hint="eastAsia" w:ascii="Times New Roman" w:hAnsi="Times New Roman"/>
                <w:b/>
                <w:sz w:val="24"/>
                <w:szCs w:val="24"/>
                <w:lang w:val="en-US" w:eastAsia="zh-CN"/>
              </w:rPr>
              <w:t>过敏性紫癜的辅助检查、诊断和治疗的基本理论知</w:t>
            </w:r>
            <w:r>
              <w:rPr>
                <w:rFonts w:hint="eastAsia" w:ascii="Times New Roman" w:hAnsi="Times New Roman"/>
                <w:b/>
                <w:sz w:val="24"/>
                <w:szCs w:val="24"/>
              </w:rPr>
              <w:t>识。</w:t>
            </w:r>
          </w:p>
        </w:tc>
      </w:tr>
      <w:tr w14:paraId="7DC5B496">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7074CA37">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61A1C22">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7208" w:type="dxa"/>
            <w:tcBorders>
              <w:tl2br w:val="nil"/>
              <w:tr2bl w:val="nil"/>
            </w:tcBorders>
            <w:vAlign w:val="center"/>
          </w:tcPr>
          <w:p w14:paraId="1E1F029F">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0EBF2CB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val="0"/>
                <w:bCs/>
                <w:kern w:val="2"/>
                <w:sz w:val="24"/>
                <w:szCs w:val="24"/>
                <w:lang w:val="en-US" w:eastAsia="zh-CN" w:bidi="ar"/>
              </w:rPr>
              <w:t>这节课我们一起学习了</w:t>
            </w:r>
            <w:r>
              <w:rPr>
                <w:rFonts w:hint="eastAsia" w:ascii="宋体" w:hAnsi="宋体" w:cs="宋体"/>
                <w:b w:val="0"/>
                <w:bCs/>
                <w:kern w:val="2"/>
                <w:sz w:val="24"/>
                <w:szCs w:val="24"/>
                <w:lang w:val="en-US" w:eastAsia="zh-CN" w:bidi="ar"/>
              </w:rPr>
              <w:t>过敏性紫癜的病因、发病机制、临床分型、临床表现、辅助检查、诊断和治疗要点</w:t>
            </w:r>
            <w:r>
              <w:rPr>
                <w:rFonts w:hint="eastAsia" w:ascii="宋体" w:hAnsi="宋体" w:eastAsia="宋体" w:cs="宋体"/>
                <w:b w:val="0"/>
                <w:bCs/>
                <w:kern w:val="2"/>
                <w:sz w:val="24"/>
                <w:szCs w:val="24"/>
                <w:lang w:val="en-US" w:eastAsia="zh-CN" w:bidi="ar"/>
              </w:rPr>
              <w:t>。</w:t>
            </w:r>
            <w:r>
              <w:rPr>
                <w:rFonts w:hint="default" w:ascii="宋体" w:hAnsi="宋体" w:eastAsia="宋体" w:cs="宋体"/>
                <w:sz w:val="24"/>
                <w:szCs w:val="24"/>
              </w:rPr>
              <w:t>过敏性紫癜是一种常见的血管变态反应性疾病，主要是机体对某些致敏物质产生变态反应，导致毛细血管脆性及通透性增加，血液外渗，产生紫癜、黏膜及某些器官出血。</w:t>
            </w:r>
          </w:p>
        </w:tc>
        <w:tc>
          <w:tcPr>
            <w:tcW w:w="1696" w:type="dxa"/>
            <w:tcBorders>
              <w:tl2br w:val="nil"/>
              <w:tr2bl w:val="nil"/>
            </w:tcBorders>
            <w:vAlign w:val="center"/>
          </w:tcPr>
          <w:p w14:paraId="1B253B2C">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w:t>
            </w:r>
            <w:r>
              <w:rPr>
                <w:rFonts w:hint="eastAsia" w:ascii="宋体" w:hAnsi="宋体" w:cs="宋体"/>
                <w:kern w:val="2"/>
                <w:sz w:val="24"/>
                <w:szCs w:val="24"/>
                <w:lang w:val="en-US" w:eastAsia="zh-CN" w:bidi="ar"/>
              </w:rPr>
              <w:t>学生</w:t>
            </w:r>
            <w:r>
              <w:rPr>
                <w:rFonts w:hint="eastAsia" w:ascii="宋体" w:hAnsi="宋体" w:eastAsia="宋体" w:cs="宋体"/>
                <w:kern w:val="2"/>
                <w:sz w:val="24"/>
                <w:szCs w:val="24"/>
                <w:lang w:val="en-US" w:eastAsia="zh-CN" w:bidi="ar"/>
              </w:rPr>
              <w:t>对所学知识的回顾，培养学生的归纳总结能力</w:t>
            </w:r>
          </w:p>
        </w:tc>
      </w:tr>
      <w:tr w14:paraId="30C22C72">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75C41231">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7208" w:type="dxa"/>
            <w:tcBorders>
              <w:tl2br w:val="nil"/>
              <w:tr2bl w:val="nil"/>
            </w:tcBorders>
            <w:vAlign w:val="center"/>
          </w:tcPr>
          <w:p w14:paraId="54149AF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14:paraId="480A5C0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cs="宋体"/>
                <w:bCs/>
                <w:kern w:val="2"/>
                <w:sz w:val="24"/>
                <w:szCs w:val="24"/>
                <w:lang w:val="en-US" w:eastAsia="zh-CN" w:bidi="ar"/>
              </w:rPr>
              <w:t>简述过敏性紫癜的治疗方法。</w:t>
            </w:r>
          </w:p>
        </w:tc>
        <w:tc>
          <w:tcPr>
            <w:tcW w:w="1696" w:type="dxa"/>
            <w:tcBorders>
              <w:tl2br w:val="nil"/>
              <w:tr2bl w:val="nil"/>
            </w:tcBorders>
            <w:vAlign w:val="center"/>
          </w:tcPr>
          <w:p w14:paraId="1E3B54E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14:paraId="77B8ADF4">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1E5B6727">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8904" w:type="dxa"/>
            <w:gridSpan w:val="2"/>
            <w:tcBorders>
              <w:tl2br w:val="nil"/>
              <w:tr2bl w:val="nil"/>
            </w:tcBorders>
            <w:vAlign w:val="center"/>
          </w:tcPr>
          <w:p w14:paraId="023B54B0">
            <w:pPr>
              <w:keepNext w:val="0"/>
              <w:keepLines w:val="0"/>
              <w:suppressLineNumbers w:val="0"/>
              <w:spacing w:before="0" w:beforeAutospacing="0" w:after="0" w:afterAutospacing="0" w:line="360" w:lineRule="auto"/>
              <w:ind w:left="0" w:right="0"/>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教学中紧密结合教材中导入案例，培养学生学会分析问题、解决问题的能力和系统的临床诊疗思维</w:t>
            </w:r>
            <w:r>
              <w:rPr>
                <w:rFonts w:hint="default" w:ascii="Times New Roman" w:hAnsi="Times New Roman"/>
                <w:sz w:val="24"/>
                <w:szCs w:val="24"/>
              </w:rPr>
              <w:t>。</w:t>
            </w:r>
            <w:r>
              <w:rPr>
                <w:rFonts w:hint="default" w:ascii="宋体" w:hAnsi="宋体" w:eastAsia="宋体" w:cs="宋体"/>
                <w:sz w:val="24"/>
                <w:szCs w:val="24"/>
              </w:rPr>
              <w:t>注重互动教学。在课堂上设置了提问环节，针对重点知识和难点问题向学员提问，引导学员思考和回答，及时了解学员的学习情况，发现学员存在的问题并进行解答。同时，鼓励</w:t>
            </w:r>
            <w:r>
              <w:rPr>
                <w:rFonts w:hint="eastAsia" w:ascii="宋体" w:hAnsi="宋体" w:eastAsia="宋体" w:cs="宋体"/>
                <w:sz w:val="24"/>
                <w:szCs w:val="24"/>
                <w:lang w:val="en-US" w:eastAsia="zh-CN"/>
              </w:rPr>
              <w:t>学生</w:t>
            </w:r>
            <w:r>
              <w:rPr>
                <w:rFonts w:hint="default" w:ascii="宋体" w:hAnsi="宋体" w:eastAsia="宋体" w:cs="宋体"/>
                <w:sz w:val="24"/>
                <w:szCs w:val="24"/>
              </w:rPr>
              <w:t>提出自己的疑问和见解，营造了良好的课堂互动氛围，促进了师生之间的交流与沟通，有助于学员更深入地理解和掌握知识。​</w:t>
            </w:r>
            <w:r>
              <w:rPr>
                <w:rFonts w:hint="default" w:ascii="宋体" w:hAnsi="宋体" w:eastAsia="宋体" w:cs="宋体"/>
                <w:sz w:val="24"/>
                <w:szCs w:val="24"/>
              </w:rPr>
              <w:br w:type="textWrapping"/>
            </w:r>
            <w:r>
              <w:rPr>
                <w:rFonts w:hint="default" w:ascii="宋体" w:hAnsi="宋体" w:eastAsia="宋体" w:cs="宋体"/>
                <w:sz w:val="24"/>
                <w:szCs w:val="24"/>
              </w:rPr>
              <w:t>合理运用教学资源。利用多媒体课件展示了过敏性紫癜的皮肤紫癜图片、关节肿胀图片、检查图片等，使学员能够直观地观察到疾病的临床表现和相关检查结果，增强了教学的直观性和形象性，帮助学员更好地理解和记忆知识。</w:t>
            </w:r>
          </w:p>
        </w:tc>
      </w:tr>
    </w:tbl>
    <w:p w14:paraId="64719403"/>
    <w:sectPr>
      <w:pgSz w:w="11906" w:h="16838"/>
      <w:pgMar w:top="567" w:right="170" w:bottom="850" w:left="170" w:header="567"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inYinok">
    <w:altName w:val="Segoe Print"/>
    <w:panose1 w:val="020B0603050302020204"/>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书宋简体">
    <w:altName w:val="宋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8E3C">
    <w:pPr>
      <w:pStyle w:val="9"/>
      <w:pBdr>
        <w:bottom w:val="none" w:color="auto" w:sz="0" w:space="1"/>
      </w:pBdr>
      <w:rPr>
        <w:rFonts w:hint="eastAsia" w:eastAsia="宋体"/>
        <w:lang w:eastAsia="zh-CN"/>
      </w:rPr>
    </w:pPr>
    <w:r>
      <w:rPr>
        <w:sz w:val="18"/>
      </w:rPr>
      <mc:AlternateContent>
        <mc:Choice Requires="wps">
          <w:drawing>
            <wp:anchor distT="0" distB="0" distL="114300" distR="114300" simplePos="0" relativeHeight="251661312" behindDoc="0" locked="0" layoutInCell="1" allowOverlap="1">
              <wp:simplePos x="0" y="0"/>
              <wp:positionH relativeFrom="column">
                <wp:posOffset>249555</wp:posOffset>
              </wp:positionH>
              <wp:positionV relativeFrom="paragraph">
                <wp:posOffset>5715</wp:posOffset>
              </wp:positionV>
              <wp:extent cx="6840220" cy="9972040"/>
              <wp:effectExtent l="6350" t="6350" r="11430" b="22860"/>
              <wp:wrapNone/>
              <wp:docPr id="8" name="矩形 8"/>
              <wp:cNvGraphicFramePr/>
              <a:graphic xmlns:a="http://schemas.openxmlformats.org/drawingml/2006/main">
                <a:graphicData uri="http://schemas.microsoft.com/office/word/2010/wordprocessingShape">
                  <wps:wsp>
                    <wps:cNvSpPr/>
                    <wps:spPr>
                      <a:xfrm>
                        <a:off x="293370" y="365760"/>
                        <a:ext cx="6840220" cy="9972040"/>
                      </a:xfrm>
                      <a:prstGeom prst="rect">
                        <a:avLst/>
                      </a:prstGeom>
                      <a:solidFill>
                        <a:schemeClr val="bg1">
                          <a:alpha val="55000"/>
                        </a:schemeClr>
                      </a:solidFill>
                      <a:ln>
                        <a:solidFill>
                          <a:schemeClr val="bg1">
                            <a:lumMod val="95000"/>
                          </a:schemeClr>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65pt;margin-top:0.45pt;height:785.2pt;width:538.6pt;z-index:251661312;v-text-anchor:middle;mso-width-relative:page;mso-height-relative:page;" fillcolor="#FFFFFF [3212]" filled="t" stroked="t" coordsize="21600,21600" o:gfxdata="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LbM&#10;U1bYAAAACQEAAA8AAAAAAAAAAQAgAAAAIgAAAGRycy9kb3ducmV2LnhtbFBLAQIUABQAAAAIAIdO&#10;4kC3d1dhlQIAAEIFAAAOAAAAAAAAAAEAIAAAACcBAABkcnMvZTJvRG9jLnhtbFBLBQYAAAAABgAG&#10;AFkBAAAuBgAAAAA=&#10;">
              <v:fill on="t" opacity="36044f" focussize="0,0"/>
              <v:stroke weight="1pt" color="#F2F2F2 [3052]" miterlimit="8" joinstyle="miter"/>
              <v:imagedata o:title=""/>
              <o:lock v:ext="edit" aspectratio="f"/>
            </v:rect>
          </w:pict>
        </mc:Fallback>
      </mc:AlternateContent>
    </w:r>
    <w:r>
      <w:rPr>
        <w:rFonts w:hint="eastAsia" w:eastAsia="宋体"/>
        <w:lang w:eastAsia="zh-CN"/>
      </w:rPr>
      <w:drawing>
        <wp:anchor distT="0" distB="0" distL="114300" distR="114300" simplePos="0" relativeHeight="251660288" behindDoc="1" locked="0" layoutInCell="1" allowOverlap="1">
          <wp:simplePos x="0" y="0"/>
          <wp:positionH relativeFrom="column">
            <wp:posOffset>-113030</wp:posOffset>
          </wp:positionH>
          <wp:positionV relativeFrom="paragraph">
            <wp:posOffset>-350520</wp:posOffset>
          </wp:positionV>
          <wp:extent cx="7559040" cy="10692130"/>
          <wp:effectExtent l="0" t="0" r="3810" b="13970"/>
          <wp:wrapNone/>
          <wp:docPr id="7" name="图片 7" descr="医学背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医学背景2"/>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p w14:paraId="76D56191">
    <w:pPr>
      <w:pStyle w:val="9"/>
      <w:pBdr>
        <w:bottom w:val="none" w:color="auto" w:sz="0" w:space="1"/>
      </w:pBdr>
      <w:rPr>
        <w:rFonts w:hint="eastAsia" w:eastAsia="宋体"/>
        <w:lang w:eastAsia="zh-CN"/>
      </w:rPr>
    </w:pPr>
    <w:r>
      <w:rPr>
        <w:rFonts w:hint="eastAsia" w:eastAsia="宋体"/>
        <w:lang w:eastAsia="zh-CN"/>
      </w:rPr>
      <w:drawing>
        <wp:inline distT="0" distB="0" distL="114300" distR="114300">
          <wp:extent cx="6614160" cy="9355455"/>
          <wp:effectExtent l="0" t="0" r="15240" b="17145"/>
          <wp:docPr id="6" name="图片 6" descr="医学背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医学背景2"/>
                  <pic:cNvPicPr>
                    <a:picLocks noChangeAspect="1"/>
                  </pic:cNvPicPr>
                </pic:nvPicPr>
                <pic:blipFill>
                  <a:blip r:embed="rId1"/>
                  <a:stretch>
                    <a:fillRect/>
                  </a:stretch>
                </pic:blipFill>
                <pic:spPr>
                  <a:xfrm>
                    <a:off x="0" y="0"/>
                    <a:ext cx="6614160" cy="935545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B6F23">
    <w:pPr>
      <w:pStyle w:val="9"/>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-115570</wp:posOffset>
          </wp:positionH>
          <wp:positionV relativeFrom="paragraph">
            <wp:posOffset>-367030</wp:posOffset>
          </wp:positionV>
          <wp:extent cx="7559040" cy="10692130"/>
          <wp:effectExtent l="0" t="0" r="3810" b="13970"/>
          <wp:wrapNone/>
          <wp:docPr id="3" name="图片 3" descr="医学封面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医学封面背景"/>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ZDJhYjUyNWMyYTM4YmY1YzczYWE4MTIwOWE1NDY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277CD0"/>
    <w:rsid w:val="0AC91BFE"/>
    <w:rsid w:val="0E3C75E8"/>
    <w:rsid w:val="11291C66"/>
    <w:rsid w:val="1FB84519"/>
    <w:rsid w:val="20F13C9B"/>
    <w:rsid w:val="238347DF"/>
    <w:rsid w:val="239A7798"/>
    <w:rsid w:val="24B477DD"/>
    <w:rsid w:val="278141AB"/>
    <w:rsid w:val="28B578A7"/>
    <w:rsid w:val="2C5C4DD3"/>
    <w:rsid w:val="322A12C5"/>
    <w:rsid w:val="34AD60CD"/>
    <w:rsid w:val="34B67F89"/>
    <w:rsid w:val="368D542E"/>
    <w:rsid w:val="388B134B"/>
    <w:rsid w:val="3CC02928"/>
    <w:rsid w:val="3D171177"/>
    <w:rsid w:val="3F9F1F66"/>
    <w:rsid w:val="436C72A2"/>
    <w:rsid w:val="43CD7F64"/>
    <w:rsid w:val="44B33A23"/>
    <w:rsid w:val="45C91BBA"/>
    <w:rsid w:val="49F8701E"/>
    <w:rsid w:val="4C7F0E23"/>
    <w:rsid w:val="5A7C6694"/>
    <w:rsid w:val="600E33E1"/>
    <w:rsid w:val="615B41E5"/>
    <w:rsid w:val="622A303A"/>
    <w:rsid w:val="6278291F"/>
    <w:rsid w:val="723010AC"/>
    <w:rsid w:val="7E1F5A45"/>
    <w:rsid w:val="7E560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link w:val="31"/>
    <w:semiHidden/>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24"/>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5">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6">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3">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caption"/>
    <w:basedOn w:val="1"/>
    <w:next w:val="1"/>
    <w:link w:val="29"/>
    <w:unhideWhenUsed/>
    <w:qFormat/>
    <w:uiPriority w:val="0"/>
    <w:rPr>
      <w:rFonts w:eastAsia="黑体" w:asciiTheme="majorHAnsi" w:hAnsiTheme="majorHAnsi" w:cstheme="majorBidi"/>
      <w:sz w:val="20"/>
      <w:szCs w:val="20"/>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5">
    <w:name w:val="Heading #3|1"/>
    <w:basedOn w:val="1"/>
    <w:link w:val="16"/>
    <w:qFormat/>
    <w:uiPriority w:val="0"/>
    <w:pPr>
      <w:spacing w:after="160"/>
      <w:outlineLvl w:val="2"/>
    </w:pPr>
    <w:rPr>
      <w:rFonts w:ascii="宋体" w:hAnsi="宋体" w:cs="宋体"/>
      <w:color w:val="EC008D"/>
      <w:sz w:val="20"/>
      <w:szCs w:val="20"/>
      <w:lang w:val="zh-TW" w:eastAsia="zh-TW" w:bidi="zh-TW"/>
    </w:rPr>
  </w:style>
  <w:style w:type="character" w:customStyle="1" w:styleId="16">
    <w:name w:val="Heading #3|1 Char"/>
    <w:link w:val="15"/>
    <w:qFormat/>
    <w:uiPriority w:val="0"/>
    <w:rPr>
      <w:rFonts w:ascii="宋体" w:hAnsi="宋体" w:eastAsia="宋体" w:cs="宋体"/>
      <w:color w:val="EC008D"/>
      <w:sz w:val="20"/>
      <w:szCs w:val="20"/>
      <w:lang w:val="zh-TW" w:eastAsia="zh-TW" w:bidi="zh-TW"/>
    </w:rPr>
  </w:style>
  <w:style w:type="paragraph" w:customStyle="1" w:styleId="17">
    <w:name w:val="Body text|1"/>
    <w:basedOn w:val="1"/>
    <w:link w:val="18"/>
    <w:unhideWhenUsed/>
    <w:qFormat/>
    <w:uiPriority w:val="0"/>
    <w:pPr>
      <w:spacing w:line="360" w:lineRule="auto"/>
      <w:ind w:firstLine="400"/>
    </w:pPr>
    <w:rPr>
      <w:rFonts w:ascii="宋体" w:hAnsi="宋体" w:cs="宋体"/>
      <w:sz w:val="20"/>
      <w:szCs w:val="20"/>
      <w:lang w:val="zh-TW" w:eastAsia="zh-TW" w:bidi="zh-TW"/>
    </w:rPr>
  </w:style>
  <w:style w:type="character" w:customStyle="1" w:styleId="18">
    <w:name w:val="Body text|1 Char"/>
    <w:link w:val="17"/>
    <w:qFormat/>
    <w:uiPriority w:val="0"/>
    <w:rPr>
      <w:rFonts w:ascii="宋体" w:hAnsi="宋体" w:eastAsia="宋体" w:cs="宋体"/>
      <w:sz w:val="20"/>
      <w:szCs w:val="20"/>
      <w:lang w:val="zh-TW" w:eastAsia="zh-TW" w:bidi="zh-TW"/>
    </w:rPr>
  </w:style>
  <w:style w:type="character" w:customStyle="1" w:styleId="19">
    <w:name w:val="页眉 Char"/>
    <w:basedOn w:val="13"/>
    <w:link w:val="9"/>
    <w:qFormat/>
    <w:uiPriority w:val="99"/>
    <w:rPr>
      <w:rFonts w:ascii="Calibri" w:hAnsi="Calibri" w:eastAsia="宋体" w:cs="Times New Roman"/>
      <w:sz w:val="18"/>
      <w:szCs w:val="18"/>
    </w:rPr>
  </w:style>
  <w:style w:type="character" w:customStyle="1" w:styleId="20">
    <w:name w:val="页脚 Char"/>
    <w:basedOn w:val="13"/>
    <w:link w:val="8"/>
    <w:qFormat/>
    <w:uiPriority w:val="99"/>
    <w:rPr>
      <w:rFonts w:ascii="Calibri" w:hAnsi="Calibri" w:eastAsia="宋体" w:cs="Times New Roman"/>
      <w:sz w:val="18"/>
      <w:szCs w:val="18"/>
    </w:rPr>
  </w:style>
  <w:style w:type="paragraph" w:styleId="21">
    <w:name w:val="List Paragraph"/>
    <w:basedOn w:val="1"/>
    <w:qFormat/>
    <w:uiPriority w:val="34"/>
    <w:pPr>
      <w:ind w:firstLine="420" w:firstLineChars="200"/>
    </w:pPr>
  </w:style>
  <w:style w:type="paragraph" w:customStyle="1" w:styleId="22">
    <w:name w:val="知识拓展内容"/>
    <w:basedOn w:val="1"/>
    <w:link w:val="23"/>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3">
    <w:name w:val="知识拓展内容 Char"/>
    <w:link w:val="22"/>
    <w:qFormat/>
    <w:uiPriority w:val="0"/>
    <w:rPr>
      <w:rFonts w:ascii="Times New Roman" w:hAnsi="Times New Roman" w:eastAsia="仿宋_GB2312" w:cs="Times New Roman"/>
      <w:kern w:val="10"/>
      <w:szCs w:val="21"/>
      <w:shd w:val="clear" w:color="auto" w:fill="FADCE9"/>
      <w:lang w:val="zh-CN" w:eastAsia="zh-CN"/>
    </w:rPr>
  </w:style>
  <w:style w:type="character" w:customStyle="1" w:styleId="24">
    <w:name w:val="标题 4 Char"/>
    <w:basedOn w:val="13"/>
    <w:link w:val="4"/>
    <w:qFormat/>
    <w:uiPriority w:val="0"/>
    <w:rPr>
      <w:rFonts w:ascii="Times New Roman" w:hAnsi="Times New Roman" w:eastAsia="方正宋黑_GBK" w:cs="Times New Roman"/>
      <w:color w:val="E4007F"/>
      <w:sz w:val="26"/>
      <w:szCs w:val="20"/>
    </w:rPr>
  </w:style>
  <w:style w:type="character" w:customStyle="1" w:styleId="25">
    <w:name w:val="字符样式 拼音字体"/>
    <w:qFormat/>
    <w:uiPriority w:val="0"/>
    <w:rPr>
      <w:rFonts w:ascii="PinYinok" w:hAnsi="PinYinok"/>
      <w:sz w:val="24"/>
      <w:szCs w:val="24"/>
    </w:rPr>
  </w:style>
  <w:style w:type="character" w:customStyle="1" w:styleId="26">
    <w:name w:val="标题 5 Char"/>
    <w:basedOn w:val="13"/>
    <w:link w:val="5"/>
    <w:semiHidden/>
    <w:qFormat/>
    <w:uiPriority w:val="9"/>
    <w:rPr>
      <w:rFonts w:ascii="Calibri" w:hAnsi="Calibri" w:eastAsia="宋体" w:cs="Times New Roman"/>
      <w:b/>
      <w:bCs/>
      <w:sz w:val="28"/>
      <w:szCs w:val="28"/>
    </w:rPr>
  </w:style>
  <w:style w:type="character" w:customStyle="1" w:styleId="27">
    <w:name w:val="标题 6 Char"/>
    <w:basedOn w:val="13"/>
    <w:link w:val="6"/>
    <w:semiHidden/>
    <w:qFormat/>
    <w:uiPriority w:val="9"/>
    <w:rPr>
      <w:rFonts w:asciiTheme="majorHAnsi" w:hAnsiTheme="majorHAnsi" w:eastAsiaTheme="majorEastAsia" w:cstheme="majorBidi"/>
      <w:b/>
      <w:bCs/>
      <w:sz w:val="24"/>
      <w:szCs w:val="24"/>
    </w:rPr>
  </w:style>
  <w:style w:type="paragraph" w:customStyle="1" w:styleId="28">
    <w:name w:val="图片"/>
    <w:basedOn w:val="1"/>
    <w:next w:val="7"/>
    <w:link w:val="30"/>
    <w:qFormat/>
    <w:uiPriority w:val="0"/>
    <w:pPr>
      <w:spacing w:before="120"/>
      <w:jc w:val="center"/>
    </w:pPr>
    <w:rPr>
      <w:rFonts w:ascii="Times New Roman" w:hAnsi="Times New Roman"/>
      <w:szCs w:val="20"/>
    </w:rPr>
  </w:style>
  <w:style w:type="character" w:customStyle="1" w:styleId="29">
    <w:name w:val="题注 Char"/>
    <w:link w:val="7"/>
    <w:qFormat/>
    <w:locked/>
    <w:uiPriority w:val="0"/>
    <w:rPr>
      <w:rFonts w:eastAsia="黑体" w:asciiTheme="majorHAnsi" w:hAnsiTheme="majorHAnsi" w:cstheme="majorBidi"/>
      <w:sz w:val="20"/>
      <w:szCs w:val="20"/>
    </w:rPr>
  </w:style>
  <w:style w:type="character" w:customStyle="1" w:styleId="30">
    <w:name w:val="图片 Char"/>
    <w:link w:val="28"/>
    <w:qFormat/>
    <w:locked/>
    <w:uiPriority w:val="0"/>
    <w:rPr>
      <w:rFonts w:ascii="Times New Roman" w:hAnsi="Times New Roman" w:eastAsia="宋体" w:cs="Times New Roman"/>
      <w:szCs w:val="20"/>
    </w:rPr>
  </w:style>
  <w:style w:type="character" w:customStyle="1" w:styleId="31">
    <w:name w:val="标题 3 Char"/>
    <w:basedOn w:val="13"/>
    <w:link w:val="3"/>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6856</Words>
  <Characters>7469</Characters>
  <Lines>1</Lines>
  <Paragraphs>1</Paragraphs>
  <TotalTime>1</TotalTime>
  <ScaleCrop>false</ScaleCrop>
  <LinksUpToDate>false</LinksUpToDate>
  <CharactersWithSpaces>7875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Administrator</cp:lastModifiedBy>
  <dcterms:modified xsi:type="dcterms:W3CDTF">2025-09-05T03:01:55Z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C2C0F08D042C42EFAA7FA92164594F5A_13</vt:lpwstr>
  </property>
  <property fmtid="{D5CDD505-2E9C-101B-9397-08002B2CF9AE}" pid="4" name="KSOTemplateDocerSaveRecord">
    <vt:lpwstr>eyJoZGlkIjoiMGQ2MWZjZjk2MDJkNDExMGZjMzQxZTk4OTVmYzBiNzYifQ==</vt:lpwstr>
  </property>
</Properties>
</file>